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1DFA1" w14:textId="2DF0ECA0" w:rsidR="00B71CE9" w:rsidRDefault="00000000">
      <w:pPr>
        <w:pStyle w:val="ConsPlusNormal0"/>
        <w:jc w:val="right"/>
        <w:outlineLvl w:val="0"/>
      </w:pPr>
      <w:r>
        <w:t xml:space="preserve">Приложение </w:t>
      </w:r>
      <w:r w:rsidR="00764092">
        <w:t>№</w:t>
      </w:r>
      <w:r>
        <w:t xml:space="preserve"> 1</w:t>
      </w:r>
    </w:p>
    <w:p w14:paraId="7FFCD949" w14:textId="77777777" w:rsidR="00B71CE9" w:rsidRDefault="00000000">
      <w:pPr>
        <w:pStyle w:val="ConsPlusNormal0"/>
        <w:jc w:val="right"/>
      </w:pPr>
      <w:r>
        <w:t>к приказу Департамента</w:t>
      </w:r>
    </w:p>
    <w:p w14:paraId="2228AF65" w14:textId="77777777" w:rsidR="00B71CE9" w:rsidRDefault="00000000">
      <w:pPr>
        <w:pStyle w:val="ConsPlusNormal0"/>
        <w:jc w:val="right"/>
      </w:pPr>
      <w:r>
        <w:t>экономической политики</w:t>
      </w:r>
    </w:p>
    <w:p w14:paraId="0DDD827F" w14:textId="77777777" w:rsidR="00B71CE9" w:rsidRDefault="00000000">
      <w:pPr>
        <w:pStyle w:val="ConsPlusNormal0"/>
        <w:jc w:val="right"/>
      </w:pPr>
      <w:r>
        <w:t>и развития города Москвы</w:t>
      </w:r>
    </w:p>
    <w:p w14:paraId="05E3FC96" w14:textId="77777777" w:rsidR="00B71CE9" w:rsidRDefault="00000000">
      <w:pPr>
        <w:pStyle w:val="ConsPlusNormal0"/>
        <w:jc w:val="right"/>
      </w:pPr>
      <w:r>
        <w:t>от 16 декабря 2025 г. N ДПР-ТР-322/25</w:t>
      </w:r>
    </w:p>
    <w:p w14:paraId="165DADAF" w14:textId="77777777" w:rsidR="00B71CE9" w:rsidRDefault="00B71CE9">
      <w:pPr>
        <w:pStyle w:val="ConsPlusNormal0"/>
        <w:jc w:val="both"/>
      </w:pPr>
    </w:p>
    <w:p w14:paraId="22DCC5FA" w14:textId="77777777" w:rsidR="00B71CE9" w:rsidRDefault="00000000">
      <w:pPr>
        <w:pStyle w:val="ConsPlusTitle0"/>
        <w:jc w:val="center"/>
      </w:pPr>
      <w:bookmarkStart w:id="0" w:name="P39"/>
      <w:bookmarkEnd w:id="0"/>
      <w:r>
        <w:t>ДОЛГОСРОЧНЫЕ ПАРАМЕТРЫ</w:t>
      </w:r>
    </w:p>
    <w:p w14:paraId="0AA3D287" w14:textId="77777777" w:rsidR="00B71CE9" w:rsidRDefault="00000000">
      <w:pPr>
        <w:pStyle w:val="ConsPlusTitle0"/>
        <w:jc w:val="center"/>
      </w:pPr>
      <w:r>
        <w:t>РЕГУЛИРОВАНИЯ, УСТАНАВЛИВАЕМЫЕ НА ДОЛГОСРОЧНЫЙ ПЕРИОД</w:t>
      </w:r>
    </w:p>
    <w:p w14:paraId="49D03C31" w14:textId="77777777" w:rsidR="00B71CE9" w:rsidRDefault="00000000">
      <w:pPr>
        <w:pStyle w:val="ConsPlusTitle0"/>
        <w:jc w:val="center"/>
      </w:pPr>
      <w:r>
        <w:t>РЕГУЛИРОВАНИЯ ДЛЯ ФОРМИРОВАНИЯ ТАРИФОВ НА ГОРЯЧУЮ ВОДУ</w:t>
      </w:r>
    </w:p>
    <w:p w14:paraId="54A1F1A6" w14:textId="77777777" w:rsidR="00B71CE9" w:rsidRDefault="00000000">
      <w:pPr>
        <w:pStyle w:val="ConsPlusTitle0"/>
        <w:jc w:val="center"/>
      </w:pPr>
      <w:r>
        <w:t>(ГОРЯЧЕЕ ВОДОСНАБЖЕНИЕ), ПОСТАВЛЯЕМУЮ КАЗЕННЫМ ПРЕДПРИЯТИЕМ</w:t>
      </w:r>
    </w:p>
    <w:p w14:paraId="63C062F1" w14:textId="77777777" w:rsidR="00B71CE9" w:rsidRDefault="00000000">
      <w:pPr>
        <w:pStyle w:val="ConsPlusTitle0"/>
        <w:jc w:val="center"/>
      </w:pPr>
      <w:r>
        <w:t>"МОСКОВСКАЯ ЭНЕРГЕТИЧЕСКАЯ ДИРЕКЦИЯ" ПОТРЕБИТЕЛЯМ</w:t>
      </w:r>
    </w:p>
    <w:p w14:paraId="66A09822" w14:textId="77777777" w:rsidR="00B71CE9" w:rsidRDefault="00000000">
      <w:pPr>
        <w:pStyle w:val="ConsPlusTitle0"/>
        <w:jc w:val="center"/>
      </w:pPr>
      <w:r>
        <w:t>С ИСПОЛЬЗОВАНИЕМ ЗАКРЫТОЙ СИСТЕМЫ ГОРЯЧЕГО ВОДОСНАБЖЕНИЯ</w:t>
      </w:r>
    </w:p>
    <w:p w14:paraId="39F92F5D" w14:textId="77777777" w:rsidR="00B71CE9" w:rsidRDefault="00000000">
      <w:pPr>
        <w:pStyle w:val="ConsPlusTitle0"/>
        <w:jc w:val="center"/>
      </w:pPr>
      <w:r>
        <w:t>ОТ КОТЕЛЬНОЙ ПО АДРЕСУ: Г. МОСКВА, ВН. ТЕР. МУНИЦИПАЛЬНЫЙ</w:t>
      </w:r>
    </w:p>
    <w:p w14:paraId="279AC28D" w14:textId="77777777" w:rsidR="00B71CE9" w:rsidRDefault="00000000">
      <w:pPr>
        <w:pStyle w:val="ConsPlusTitle0"/>
        <w:jc w:val="center"/>
      </w:pPr>
      <w:r>
        <w:t>ОКРУГ НОВО-ПЕРЕДЕЛКИНО, УЛ. НОВООРЛОВСКАЯ, Д. 7Г,</w:t>
      </w:r>
    </w:p>
    <w:p w14:paraId="772664CD" w14:textId="77777777" w:rsidR="00B71CE9" w:rsidRDefault="00000000">
      <w:pPr>
        <w:pStyle w:val="ConsPlusTitle0"/>
        <w:jc w:val="center"/>
      </w:pPr>
      <w:r>
        <w:t>С ПРИМЕНЕНИЕМ МЕТОДА ИНДЕКСАЦИИ</w:t>
      </w:r>
    </w:p>
    <w:p w14:paraId="16F5F48D" w14:textId="77777777" w:rsidR="00B71CE9" w:rsidRDefault="00B71CE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1863"/>
        <w:gridCol w:w="639"/>
        <w:gridCol w:w="1656"/>
        <w:gridCol w:w="1732"/>
        <w:gridCol w:w="1048"/>
        <w:gridCol w:w="1658"/>
      </w:tblGrid>
      <w:tr w:rsidR="00B71CE9" w14:paraId="46E5D983" w14:textId="77777777">
        <w:tc>
          <w:tcPr>
            <w:tcW w:w="484" w:type="dxa"/>
            <w:vMerge w:val="restart"/>
          </w:tcPr>
          <w:p w14:paraId="74B3843C" w14:textId="77777777" w:rsidR="00B71CE9" w:rsidRDefault="0000000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63" w:type="dxa"/>
            <w:vMerge w:val="restart"/>
          </w:tcPr>
          <w:p w14:paraId="25E4E8C9" w14:textId="77777777" w:rsidR="00B71CE9" w:rsidRDefault="00000000">
            <w:pPr>
              <w:pStyle w:val="ConsPlusNormal0"/>
              <w:jc w:val="center"/>
            </w:pPr>
            <w:r>
              <w:t>Вид товара (услуги)</w:t>
            </w:r>
          </w:p>
        </w:tc>
        <w:tc>
          <w:tcPr>
            <w:tcW w:w="639" w:type="dxa"/>
            <w:vMerge w:val="restart"/>
          </w:tcPr>
          <w:p w14:paraId="59C32B94" w14:textId="77777777" w:rsidR="00B71CE9" w:rsidRDefault="00000000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1656" w:type="dxa"/>
            <w:vMerge w:val="restart"/>
          </w:tcPr>
          <w:p w14:paraId="2F6BAE53" w14:textId="77777777" w:rsidR="00B71CE9" w:rsidRDefault="00000000">
            <w:pPr>
              <w:pStyle w:val="ConsPlusNormal0"/>
              <w:jc w:val="center"/>
            </w:pPr>
            <w:r>
              <w:t>Базовый уровень операционных расходов, тыс. руб.</w:t>
            </w:r>
          </w:p>
        </w:tc>
        <w:tc>
          <w:tcPr>
            <w:tcW w:w="1732" w:type="dxa"/>
            <w:vMerge w:val="restart"/>
          </w:tcPr>
          <w:p w14:paraId="510B6CA9" w14:textId="77777777" w:rsidR="00B71CE9" w:rsidRDefault="00000000">
            <w:pPr>
              <w:pStyle w:val="ConsPlusNormal0"/>
              <w:jc w:val="center"/>
            </w:pPr>
            <w:r>
              <w:t>Индекс эффективности операционных расходов, %</w:t>
            </w:r>
          </w:p>
        </w:tc>
        <w:tc>
          <w:tcPr>
            <w:tcW w:w="2706" w:type="dxa"/>
            <w:gridSpan w:val="2"/>
          </w:tcPr>
          <w:p w14:paraId="3E546650" w14:textId="77777777" w:rsidR="00B71CE9" w:rsidRDefault="00000000">
            <w:pPr>
              <w:pStyle w:val="ConsPlusNormal0"/>
              <w:jc w:val="center"/>
            </w:pPr>
            <w:r>
              <w:t>Показатели энергосбережения и энергетической эффективности</w:t>
            </w:r>
          </w:p>
        </w:tc>
      </w:tr>
      <w:tr w:rsidR="00B71CE9" w14:paraId="5C4F8A57" w14:textId="77777777">
        <w:tc>
          <w:tcPr>
            <w:tcW w:w="484" w:type="dxa"/>
            <w:vMerge/>
          </w:tcPr>
          <w:p w14:paraId="7AD6573E" w14:textId="77777777" w:rsidR="00B71CE9" w:rsidRDefault="00B71CE9">
            <w:pPr>
              <w:pStyle w:val="ConsPlusNormal0"/>
            </w:pPr>
          </w:p>
        </w:tc>
        <w:tc>
          <w:tcPr>
            <w:tcW w:w="1863" w:type="dxa"/>
            <w:vMerge/>
          </w:tcPr>
          <w:p w14:paraId="0BDDF1DE" w14:textId="77777777" w:rsidR="00B71CE9" w:rsidRDefault="00B71CE9">
            <w:pPr>
              <w:pStyle w:val="ConsPlusNormal0"/>
            </w:pPr>
          </w:p>
        </w:tc>
        <w:tc>
          <w:tcPr>
            <w:tcW w:w="639" w:type="dxa"/>
            <w:vMerge/>
          </w:tcPr>
          <w:p w14:paraId="5C948D5D" w14:textId="77777777" w:rsidR="00B71CE9" w:rsidRDefault="00B71CE9">
            <w:pPr>
              <w:pStyle w:val="ConsPlusNormal0"/>
            </w:pPr>
          </w:p>
        </w:tc>
        <w:tc>
          <w:tcPr>
            <w:tcW w:w="1656" w:type="dxa"/>
            <w:vMerge/>
          </w:tcPr>
          <w:p w14:paraId="4A002012" w14:textId="77777777" w:rsidR="00B71CE9" w:rsidRDefault="00B71CE9">
            <w:pPr>
              <w:pStyle w:val="ConsPlusNormal0"/>
            </w:pPr>
          </w:p>
        </w:tc>
        <w:tc>
          <w:tcPr>
            <w:tcW w:w="1732" w:type="dxa"/>
            <w:vMerge/>
          </w:tcPr>
          <w:p w14:paraId="01DB32FA" w14:textId="77777777" w:rsidR="00B71CE9" w:rsidRDefault="00B71CE9">
            <w:pPr>
              <w:pStyle w:val="ConsPlusNormal0"/>
            </w:pPr>
          </w:p>
        </w:tc>
        <w:tc>
          <w:tcPr>
            <w:tcW w:w="1048" w:type="dxa"/>
          </w:tcPr>
          <w:p w14:paraId="513F4B87" w14:textId="77777777" w:rsidR="00B71CE9" w:rsidRDefault="00000000">
            <w:pPr>
              <w:pStyle w:val="ConsPlusNormal0"/>
              <w:jc w:val="center"/>
            </w:pPr>
            <w:r>
              <w:t>Уровень потерь воды, %</w:t>
            </w:r>
          </w:p>
        </w:tc>
        <w:tc>
          <w:tcPr>
            <w:tcW w:w="1658" w:type="dxa"/>
          </w:tcPr>
          <w:p w14:paraId="0441686B" w14:textId="77777777" w:rsidR="00B71CE9" w:rsidRDefault="00000000">
            <w:pPr>
              <w:pStyle w:val="ConsPlusNormal0"/>
              <w:jc w:val="center"/>
            </w:pPr>
            <w:r>
              <w:t>Удельный расход электрической энергии, кВт/ч/куб. м</w:t>
            </w:r>
          </w:p>
        </w:tc>
      </w:tr>
      <w:tr w:rsidR="00B71CE9" w14:paraId="49B80280" w14:textId="77777777">
        <w:tc>
          <w:tcPr>
            <w:tcW w:w="484" w:type="dxa"/>
            <w:vMerge w:val="restart"/>
          </w:tcPr>
          <w:p w14:paraId="727B11A8" w14:textId="77777777" w:rsidR="00B71CE9" w:rsidRDefault="00000000">
            <w:pPr>
              <w:pStyle w:val="ConsPlusNormal0"/>
            </w:pPr>
            <w:r>
              <w:t>1.</w:t>
            </w:r>
          </w:p>
        </w:tc>
        <w:tc>
          <w:tcPr>
            <w:tcW w:w="1863" w:type="dxa"/>
            <w:vMerge w:val="restart"/>
          </w:tcPr>
          <w:p w14:paraId="76614301" w14:textId="77777777" w:rsidR="00B71CE9" w:rsidRDefault="00000000">
            <w:pPr>
              <w:pStyle w:val="ConsPlusNormal0"/>
            </w:pPr>
            <w:r>
              <w:t>Горячее водоснабжение</w:t>
            </w:r>
          </w:p>
        </w:tc>
        <w:tc>
          <w:tcPr>
            <w:tcW w:w="639" w:type="dxa"/>
          </w:tcPr>
          <w:p w14:paraId="0C5469A3" w14:textId="77777777" w:rsidR="00B71CE9" w:rsidRDefault="00000000">
            <w:pPr>
              <w:pStyle w:val="ConsPlusNormal0"/>
            </w:pPr>
            <w:r>
              <w:t>2026</w:t>
            </w:r>
          </w:p>
        </w:tc>
        <w:tc>
          <w:tcPr>
            <w:tcW w:w="1656" w:type="dxa"/>
          </w:tcPr>
          <w:p w14:paraId="1D6557D3" w14:textId="77777777" w:rsidR="00B71CE9" w:rsidRDefault="00000000">
            <w:pPr>
              <w:pStyle w:val="ConsPlusNormal0"/>
            </w:pPr>
            <w:r>
              <w:t>0,00</w:t>
            </w:r>
          </w:p>
        </w:tc>
        <w:tc>
          <w:tcPr>
            <w:tcW w:w="1732" w:type="dxa"/>
          </w:tcPr>
          <w:p w14:paraId="53E709AD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48" w:type="dxa"/>
          </w:tcPr>
          <w:p w14:paraId="616B0B63" w14:textId="77777777" w:rsidR="00B71CE9" w:rsidRDefault="00000000">
            <w:pPr>
              <w:pStyle w:val="ConsPlusNormal0"/>
            </w:pPr>
            <w:r>
              <w:t>0,00</w:t>
            </w:r>
          </w:p>
        </w:tc>
        <w:tc>
          <w:tcPr>
            <w:tcW w:w="1658" w:type="dxa"/>
          </w:tcPr>
          <w:p w14:paraId="62A0B120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</w:tr>
      <w:tr w:rsidR="00B71CE9" w14:paraId="1E9770BD" w14:textId="77777777">
        <w:tc>
          <w:tcPr>
            <w:tcW w:w="484" w:type="dxa"/>
            <w:vMerge/>
          </w:tcPr>
          <w:p w14:paraId="3344B53A" w14:textId="77777777" w:rsidR="00B71CE9" w:rsidRDefault="00B71CE9">
            <w:pPr>
              <w:pStyle w:val="ConsPlusNormal0"/>
            </w:pPr>
          </w:p>
        </w:tc>
        <w:tc>
          <w:tcPr>
            <w:tcW w:w="1863" w:type="dxa"/>
            <w:vMerge/>
          </w:tcPr>
          <w:p w14:paraId="6DE94BE8" w14:textId="77777777" w:rsidR="00B71CE9" w:rsidRDefault="00B71CE9">
            <w:pPr>
              <w:pStyle w:val="ConsPlusNormal0"/>
            </w:pPr>
          </w:p>
        </w:tc>
        <w:tc>
          <w:tcPr>
            <w:tcW w:w="639" w:type="dxa"/>
          </w:tcPr>
          <w:p w14:paraId="2A11FB51" w14:textId="77777777" w:rsidR="00B71CE9" w:rsidRDefault="00000000">
            <w:pPr>
              <w:pStyle w:val="ConsPlusNormal0"/>
            </w:pPr>
            <w:r>
              <w:t>2027</w:t>
            </w:r>
          </w:p>
        </w:tc>
        <w:tc>
          <w:tcPr>
            <w:tcW w:w="1656" w:type="dxa"/>
          </w:tcPr>
          <w:p w14:paraId="0EE32BF8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32" w:type="dxa"/>
          </w:tcPr>
          <w:p w14:paraId="3C1A7EE5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48" w:type="dxa"/>
          </w:tcPr>
          <w:p w14:paraId="5F82DAB3" w14:textId="77777777" w:rsidR="00B71CE9" w:rsidRDefault="00000000">
            <w:pPr>
              <w:pStyle w:val="ConsPlusNormal0"/>
            </w:pPr>
            <w:r>
              <w:t>0,00</w:t>
            </w:r>
          </w:p>
        </w:tc>
        <w:tc>
          <w:tcPr>
            <w:tcW w:w="1658" w:type="dxa"/>
          </w:tcPr>
          <w:p w14:paraId="3A0CF81E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</w:tr>
      <w:tr w:rsidR="00B71CE9" w14:paraId="071D234B" w14:textId="77777777">
        <w:tc>
          <w:tcPr>
            <w:tcW w:w="484" w:type="dxa"/>
            <w:vMerge/>
          </w:tcPr>
          <w:p w14:paraId="32CCD455" w14:textId="77777777" w:rsidR="00B71CE9" w:rsidRDefault="00B71CE9">
            <w:pPr>
              <w:pStyle w:val="ConsPlusNormal0"/>
            </w:pPr>
          </w:p>
        </w:tc>
        <w:tc>
          <w:tcPr>
            <w:tcW w:w="1863" w:type="dxa"/>
            <w:vMerge/>
          </w:tcPr>
          <w:p w14:paraId="76FA9A44" w14:textId="77777777" w:rsidR="00B71CE9" w:rsidRDefault="00B71CE9">
            <w:pPr>
              <w:pStyle w:val="ConsPlusNormal0"/>
            </w:pPr>
          </w:p>
        </w:tc>
        <w:tc>
          <w:tcPr>
            <w:tcW w:w="639" w:type="dxa"/>
          </w:tcPr>
          <w:p w14:paraId="06FD174C" w14:textId="77777777" w:rsidR="00B71CE9" w:rsidRDefault="00000000">
            <w:pPr>
              <w:pStyle w:val="ConsPlusNormal0"/>
            </w:pPr>
            <w:r>
              <w:t>2028</w:t>
            </w:r>
          </w:p>
        </w:tc>
        <w:tc>
          <w:tcPr>
            <w:tcW w:w="1656" w:type="dxa"/>
          </w:tcPr>
          <w:p w14:paraId="36736400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32" w:type="dxa"/>
          </w:tcPr>
          <w:p w14:paraId="03D01FFB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48" w:type="dxa"/>
          </w:tcPr>
          <w:p w14:paraId="62679AB3" w14:textId="77777777" w:rsidR="00B71CE9" w:rsidRDefault="00000000">
            <w:pPr>
              <w:pStyle w:val="ConsPlusNormal0"/>
            </w:pPr>
            <w:r>
              <w:t>0,00</w:t>
            </w:r>
          </w:p>
        </w:tc>
        <w:tc>
          <w:tcPr>
            <w:tcW w:w="1658" w:type="dxa"/>
          </w:tcPr>
          <w:p w14:paraId="3BA6BFE9" w14:textId="77777777" w:rsidR="00B71CE9" w:rsidRDefault="00000000">
            <w:pPr>
              <w:pStyle w:val="ConsPlusNormal0"/>
              <w:jc w:val="center"/>
            </w:pPr>
            <w:r>
              <w:t>-</w:t>
            </w:r>
          </w:p>
        </w:tc>
      </w:tr>
    </w:tbl>
    <w:p w14:paraId="5841F00A" w14:textId="77777777" w:rsidR="00B71CE9" w:rsidRDefault="00B71CE9">
      <w:pPr>
        <w:pStyle w:val="ConsPlusNormal0"/>
        <w:jc w:val="both"/>
      </w:pPr>
    </w:p>
    <w:p w14:paraId="74A29AB4" w14:textId="728C10EF" w:rsidR="00B71CE9" w:rsidRDefault="00000000">
      <w:pPr>
        <w:pStyle w:val="ConsPlusNormal0"/>
        <w:jc w:val="right"/>
        <w:outlineLvl w:val="0"/>
      </w:pPr>
      <w:r>
        <w:t xml:space="preserve">Приложение </w:t>
      </w:r>
      <w:r w:rsidR="00764092">
        <w:t>№</w:t>
      </w:r>
      <w:r>
        <w:t xml:space="preserve"> 2</w:t>
      </w:r>
    </w:p>
    <w:p w14:paraId="1D15DAE3" w14:textId="77777777" w:rsidR="00B71CE9" w:rsidRDefault="00000000">
      <w:pPr>
        <w:pStyle w:val="ConsPlusNormal0"/>
        <w:jc w:val="right"/>
      </w:pPr>
      <w:r>
        <w:t>к приказу Департамента</w:t>
      </w:r>
    </w:p>
    <w:p w14:paraId="6A7AF4BA" w14:textId="77777777" w:rsidR="00B71CE9" w:rsidRDefault="00000000">
      <w:pPr>
        <w:pStyle w:val="ConsPlusNormal0"/>
        <w:jc w:val="right"/>
      </w:pPr>
      <w:r>
        <w:t>экономической политики</w:t>
      </w:r>
    </w:p>
    <w:p w14:paraId="0A0B819A" w14:textId="77777777" w:rsidR="00B71CE9" w:rsidRDefault="00000000">
      <w:pPr>
        <w:pStyle w:val="ConsPlusNormal0"/>
        <w:jc w:val="right"/>
      </w:pPr>
      <w:r>
        <w:t>и развития города Москвы</w:t>
      </w:r>
    </w:p>
    <w:p w14:paraId="7677B859" w14:textId="77777777" w:rsidR="00B71CE9" w:rsidRDefault="00000000">
      <w:pPr>
        <w:pStyle w:val="ConsPlusNormal0"/>
        <w:jc w:val="right"/>
      </w:pPr>
      <w:r>
        <w:t>от 16 декабря 2025 г. N ДПР-ТР-322/25</w:t>
      </w:r>
    </w:p>
    <w:p w14:paraId="69E83281" w14:textId="77777777" w:rsidR="00B71CE9" w:rsidRDefault="00B71CE9">
      <w:pPr>
        <w:pStyle w:val="ConsPlusNormal0"/>
        <w:jc w:val="both"/>
      </w:pPr>
    </w:p>
    <w:p w14:paraId="0BE66897" w14:textId="77777777" w:rsidR="00B71CE9" w:rsidRDefault="00000000">
      <w:pPr>
        <w:pStyle w:val="ConsPlusTitle0"/>
        <w:jc w:val="center"/>
      </w:pPr>
      <w:bookmarkStart w:id="1" w:name="P85"/>
      <w:bookmarkEnd w:id="1"/>
      <w:r>
        <w:t>ТАРИФЫ</w:t>
      </w:r>
    </w:p>
    <w:p w14:paraId="214727A6" w14:textId="77777777" w:rsidR="00B71CE9" w:rsidRDefault="00000000">
      <w:pPr>
        <w:pStyle w:val="ConsPlusTitle0"/>
        <w:jc w:val="center"/>
      </w:pPr>
      <w:r>
        <w:t>НА ГОРЯЧУЮ ВОДУ (ГОРЯЧЕЕ ВОДОСНАБЖЕНИЕ),</w:t>
      </w:r>
    </w:p>
    <w:p w14:paraId="41C8C706" w14:textId="77777777" w:rsidR="00B71CE9" w:rsidRDefault="00000000">
      <w:pPr>
        <w:pStyle w:val="ConsPlusTitle0"/>
        <w:jc w:val="center"/>
      </w:pPr>
      <w:r>
        <w:t>ПОСТАВЛЯЕМУЮ КАЗЕННЫМ ПРЕДПРИЯТИЕМ "МОСКОВСКАЯ</w:t>
      </w:r>
    </w:p>
    <w:p w14:paraId="4E88021A" w14:textId="77777777" w:rsidR="00B71CE9" w:rsidRDefault="00000000">
      <w:pPr>
        <w:pStyle w:val="ConsPlusTitle0"/>
        <w:jc w:val="center"/>
      </w:pPr>
      <w:r>
        <w:t>ЭНЕРГЕТИЧЕСКАЯ ДИРЕКЦИЯ" ПОТРЕБИТЕЛЯМ С ИСПОЛЬЗОВАНИЕМ</w:t>
      </w:r>
    </w:p>
    <w:p w14:paraId="52C57FE1" w14:textId="77777777" w:rsidR="00B71CE9" w:rsidRDefault="00000000">
      <w:pPr>
        <w:pStyle w:val="ConsPlusTitle0"/>
        <w:jc w:val="center"/>
      </w:pPr>
      <w:r>
        <w:t>ЗАКРЫТОЙ СИСТЕМЫ ГОРЯЧЕГО ВОДОСНАБЖЕНИЯ ОТ КОТЕЛЬНОЙ</w:t>
      </w:r>
    </w:p>
    <w:p w14:paraId="7DC7ABCF" w14:textId="77777777" w:rsidR="00B71CE9" w:rsidRDefault="00000000">
      <w:pPr>
        <w:pStyle w:val="ConsPlusTitle0"/>
        <w:jc w:val="center"/>
      </w:pPr>
      <w:r>
        <w:t>ПО АДРЕСУ: Г. МОСКВА, ВН. ТЕР. МУНИЦИПАЛЬНЫЙ ОКРУГ</w:t>
      </w:r>
    </w:p>
    <w:p w14:paraId="70171291" w14:textId="77777777" w:rsidR="00B71CE9" w:rsidRDefault="00000000">
      <w:pPr>
        <w:pStyle w:val="ConsPlusTitle0"/>
        <w:jc w:val="center"/>
      </w:pPr>
      <w:r>
        <w:t>НОВО-ПЕРЕДЕЛКИНО, УЛ. НОВООРЛОВСКАЯ, Д. 7Г</w:t>
      </w:r>
    </w:p>
    <w:p w14:paraId="403033F2" w14:textId="77777777" w:rsidR="00B71CE9" w:rsidRDefault="00B71CE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3123"/>
        <w:gridCol w:w="2542"/>
      </w:tblGrid>
      <w:tr w:rsidR="00B71CE9" w14:paraId="4AE8BBD2" w14:textId="77777777">
        <w:tc>
          <w:tcPr>
            <w:tcW w:w="567" w:type="dxa"/>
          </w:tcPr>
          <w:p w14:paraId="14459AB7" w14:textId="77777777" w:rsidR="00B71CE9" w:rsidRDefault="0000000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835" w:type="dxa"/>
          </w:tcPr>
          <w:p w14:paraId="4D4D231D" w14:textId="77777777" w:rsidR="00B71CE9" w:rsidRDefault="00000000">
            <w:pPr>
              <w:pStyle w:val="ConsPlusNormal0"/>
              <w:jc w:val="center"/>
            </w:pPr>
            <w:r>
              <w:t>Наименование потребителей</w:t>
            </w:r>
          </w:p>
        </w:tc>
        <w:tc>
          <w:tcPr>
            <w:tcW w:w="3123" w:type="dxa"/>
          </w:tcPr>
          <w:p w14:paraId="2348F810" w14:textId="77777777" w:rsidR="00B71CE9" w:rsidRDefault="00000000">
            <w:pPr>
              <w:pStyle w:val="ConsPlusNormal0"/>
              <w:jc w:val="center"/>
            </w:pPr>
            <w:r>
              <w:t>Период действия тарифа</w:t>
            </w:r>
          </w:p>
        </w:tc>
        <w:tc>
          <w:tcPr>
            <w:tcW w:w="2542" w:type="dxa"/>
          </w:tcPr>
          <w:p w14:paraId="41614033" w14:textId="77777777" w:rsidR="00B71CE9" w:rsidRDefault="00000000">
            <w:pPr>
              <w:pStyle w:val="ConsPlusNormal0"/>
              <w:jc w:val="center"/>
            </w:pPr>
            <w:r>
              <w:t>Тарифы, руб./куб. м</w:t>
            </w:r>
          </w:p>
        </w:tc>
      </w:tr>
      <w:tr w:rsidR="00B71CE9" w14:paraId="46F05736" w14:textId="77777777">
        <w:tc>
          <w:tcPr>
            <w:tcW w:w="567" w:type="dxa"/>
            <w:vMerge w:val="restart"/>
          </w:tcPr>
          <w:p w14:paraId="5D7A3237" w14:textId="77777777" w:rsidR="00B71CE9" w:rsidRDefault="00000000">
            <w:pPr>
              <w:pStyle w:val="ConsPlusNormal0"/>
            </w:pPr>
            <w:r>
              <w:t>1.</w:t>
            </w:r>
          </w:p>
        </w:tc>
        <w:tc>
          <w:tcPr>
            <w:tcW w:w="2835" w:type="dxa"/>
            <w:vMerge w:val="restart"/>
          </w:tcPr>
          <w:p w14:paraId="33E55A66" w14:textId="77777777" w:rsidR="00B71CE9" w:rsidRDefault="00000000">
            <w:pPr>
              <w:pStyle w:val="ConsPlusNormal0"/>
            </w:pPr>
            <w:r>
              <w:t>Прочие потребители (без учета НДС)</w:t>
            </w:r>
          </w:p>
        </w:tc>
        <w:tc>
          <w:tcPr>
            <w:tcW w:w="3123" w:type="dxa"/>
          </w:tcPr>
          <w:p w14:paraId="00C9BC8C" w14:textId="77777777" w:rsidR="00B71CE9" w:rsidRDefault="00000000">
            <w:pPr>
              <w:pStyle w:val="ConsPlusNormal0"/>
            </w:pPr>
            <w:r>
              <w:t>С 01.01.2026 по 30.09.2026</w:t>
            </w:r>
          </w:p>
        </w:tc>
        <w:tc>
          <w:tcPr>
            <w:tcW w:w="2542" w:type="dxa"/>
          </w:tcPr>
          <w:p w14:paraId="5652F0E5" w14:textId="77777777" w:rsidR="00B71CE9" w:rsidRDefault="00000000">
            <w:pPr>
              <w:pStyle w:val="ConsPlusNormal0"/>
            </w:pPr>
            <w:r>
              <w:t>212,93</w:t>
            </w:r>
          </w:p>
        </w:tc>
      </w:tr>
      <w:tr w:rsidR="00B71CE9" w14:paraId="7DEB7EA3" w14:textId="77777777">
        <w:tc>
          <w:tcPr>
            <w:tcW w:w="567" w:type="dxa"/>
            <w:vMerge/>
          </w:tcPr>
          <w:p w14:paraId="0D4E85A4" w14:textId="77777777" w:rsidR="00B71CE9" w:rsidRDefault="00B71CE9">
            <w:pPr>
              <w:pStyle w:val="ConsPlusNormal0"/>
            </w:pPr>
          </w:p>
        </w:tc>
        <w:tc>
          <w:tcPr>
            <w:tcW w:w="2835" w:type="dxa"/>
            <w:vMerge/>
          </w:tcPr>
          <w:p w14:paraId="1869A1F2" w14:textId="77777777" w:rsidR="00B71CE9" w:rsidRDefault="00B71CE9">
            <w:pPr>
              <w:pStyle w:val="ConsPlusNormal0"/>
            </w:pPr>
          </w:p>
        </w:tc>
        <w:tc>
          <w:tcPr>
            <w:tcW w:w="3123" w:type="dxa"/>
          </w:tcPr>
          <w:p w14:paraId="277691B0" w14:textId="77777777" w:rsidR="00B71CE9" w:rsidRDefault="00000000">
            <w:pPr>
              <w:pStyle w:val="ConsPlusNormal0"/>
            </w:pPr>
            <w:r>
              <w:t>С 01.10.2026 по 31.12.2026</w:t>
            </w:r>
          </w:p>
        </w:tc>
        <w:tc>
          <w:tcPr>
            <w:tcW w:w="2542" w:type="dxa"/>
          </w:tcPr>
          <w:p w14:paraId="0ABFDF70" w14:textId="77777777" w:rsidR="00B71CE9" w:rsidRDefault="00000000">
            <w:pPr>
              <w:pStyle w:val="ConsPlusNormal0"/>
            </w:pPr>
            <w:r>
              <w:t>300,95</w:t>
            </w:r>
          </w:p>
        </w:tc>
      </w:tr>
      <w:tr w:rsidR="00B71CE9" w14:paraId="02D002D3" w14:textId="77777777">
        <w:tc>
          <w:tcPr>
            <w:tcW w:w="567" w:type="dxa"/>
            <w:vMerge/>
          </w:tcPr>
          <w:p w14:paraId="4E6620D6" w14:textId="77777777" w:rsidR="00B71CE9" w:rsidRDefault="00B71CE9">
            <w:pPr>
              <w:pStyle w:val="ConsPlusNormal0"/>
            </w:pPr>
          </w:p>
        </w:tc>
        <w:tc>
          <w:tcPr>
            <w:tcW w:w="2835" w:type="dxa"/>
            <w:vMerge/>
          </w:tcPr>
          <w:p w14:paraId="3F0681B1" w14:textId="77777777" w:rsidR="00B71CE9" w:rsidRDefault="00B71CE9">
            <w:pPr>
              <w:pStyle w:val="ConsPlusNormal0"/>
            </w:pPr>
          </w:p>
        </w:tc>
        <w:tc>
          <w:tcPr>
            <w:tcW w:w="3123" w:type="dxa"/>
          </w:tcPr>
          <w:p w14:paraId="77AA35DE" w14:textId="77777777" w:rsidR="00B71CE9" w:rsidRDefault="00000000">
            <w:pPr>
              <w:pStyle w:val="ConsPlusNormal0"/>
            </w:pPr>
            <w:r>
              <w:t>С 01.01.2027 по 30.06.2027</w:t>
            </w:r>
          </w:p>
        </w:tc>
        <w:tc>
          <w:tcPr>
            <w:tcW w:w="2542" w:type="dxa"/>
          </w:tcPr>
          <w:p w14:paraId="57E18C4B" w14:textId="77777777" w:rsidR="00B71CE9" w:rsidRDefault="00000000">
            <w:pPr>
              <w:pStyle w:val="ConsPlusNormal0"/>
            </w:pPr>
            <w:r>
              <w:t>300,95</w:t>
            </w:r>
          </w:p>
        </w:tc>
      </w:tr>
      <w:tr w:rsidR="00B71CE9" w14:paraId="170F4A6E" w14:textId="77777777">
        <w:tc>
          <w:tcPr>
            <w:tcW w:w="567" w:type="dxa"/>
            <w:vMerge/>
          </w:tcPr>
          <w:p w14:paraId="01090982" w14:textId="77777777" w:rsidR="00B71CE9" w:rsidRDefault="00B71CE9">
            <w:pPr>
              <w:pStyle w:val="ConsPlusNormal0"/>
            </w:pPr>
          </w:p>
        </w:tc>
        <w:tc>
          <w:tcPr>
            <w:tcW w:w="2835" w:type="dxa"/>
            <w:vMerge/>
          </w:tcPr>
          <w:p w14:paraId="52BE8430" w14:textId="77777777" w:rsidR="00B71CE9" w:rsidRDefault="00B71CE9">
            <w:pPr>
              <w:pStyle w:val="ConsPlusNormal0"/>
            </w:pPr>
          </w:p>
        </w:tc>
        <w:tc>
          <w:tcPr>
            <w:tcW w:w="3123" w:type="dxa"/>
          </w:tcPr>
          <w:p w14:paraId="71E20C9B" w14:textId="77777777" w:rsidR="00B71CE9" w:rsidRDefault="00000000">
            <w:pPr>
              <w:pStyle w:val="ConsPlusNormal0"/>
            </w:pPr>
            <w:r>
              <w:t>С 01.07.2027 по 31.12.2027</w:t>
            </w:r>
          </w:p>
        </w:tc>
        <w:tc>
          <w:tcPr>
            <w:tcW w:w="2542" w:type="dxa"/>
          </w:tcPr>
          <w:p w14:paraId="080A87FB" w14:textId="77777777" w:rsidR="00B71CE9" w:rsidRDefault="00000000">
            <w:pPr>
              <w:pStyle w:val="ConsPlusNormal0"/>
            </w:pPr>
            <w:r>
              <w:t>312,16</w:t>
            </w:r>
          </w:p>
        </w:tc>
      </w:tr>
      <w:tr w:rsidR="00B71CE9" w14:paraId="27E1CFFB" w14:textId="77777777">
        <w:tc>
          <w:tcPr>
            <w:tcW w:w="567" w:type="dxa"/>
            <w:vMerge/>
          </w:tcPr>
          <w:p w14:paraId="40A711D0" w14:textId="77777777" w:rsidR="00B71CE9" w:rsidRDefault="00B71CE9">
            <w:pPr>
              <w:pStyle w:val="ConsPlusNormal0"/>
            </w:pPr>
          </w:p>
        </w:tc>
        <w:tc>
          <w:tcPr>
            <w:tcW w:w="2835" w:type="dxa"/>
            <w:vMerge/>
          </w:tcPr>
          <w:p w14:paraId="646326B6" w14:textId="77777777" w:rsidR="00B71CE9" w:rsidRDefault="00B71CE9">
            <w:pPr>
              <w:pStyle w:val="ConsPlusNormal0"/>
            </w:pPr>
          </w:p>
        </w:tc>
        <w:tc>
          <w:tcPr>
            <w:tcW w:w="3123" w:type="dxa"/>
          </w:tcPr>
          <w:p w14:paraId="4AD0FF44" w14:textId="77777777" w:rsidR="00B71CE9" w:rsidRDefault="00000000">
            <w:pPr>
              <w:pStyle w:val="ConsPlusNormal0"/>
            </w:pPr>
            <w:r>
              <w:t>С 01.01.2028 по 30.06.2028</w:t>
            </w:r>
          </w:p>
        </w:tc>
        <w:tc>
          <w:tcPr>
            <w:tcW w:w="2542" w:type="dxa"/>
          </w:tcPr>
          <w:p w14:paraId="4EDDA3CD" w14:textId="77777777" w:rsidR="00B71CE9" w:rsidRDefault="00000000">
            <w:pPr>
              <w:pStyle w:val="ConsPlusNormal0"/>
            </w:pPr>
            <w:r>
              <w:t>312,16</w:t>
            </w:r>
          </w:p>
        </w:tc>
      </w:tr>
      <w:tr w:rsidR="00B71CE9" w14:paraId="692A369C" w14:textId="77777777">
        <w:tc>
          <w:tcPr>
            <w:tcW w:w="567" w:type="dxa"/>
            <w:vMerge/>
          </w:tcPr>
          <w:p w14:paraId="1CF4A83A" w14:textId="77777777" w:rsidR="00B71CE9" w:rsidRDefault="00B71CE9">
            <w:pPr>
              <w:pStyle w:val="ConsPlusNormal0"/>
            </w:pPr>
          </w:p>
        </w:tc>
        <w:tc>
          <w:tcPr>
            <w:tcW w:w="2835" w:type="dxa"/>
            <w:vMerge/>
          </w:tcPr>
          <w:p w14:paraId="70E67CF4" w14:textId="77777777" w:rsidR="00B71CE9" w:rsidRDefault="00B71CE9">
            <w:pPr>
              <w:pStyle w:val="ConsPlusNormal0"/>
            </w:pPr>
          </w:p>
        </w:tc>
        <w:tc>
          <w:tcPr>
            <w:tcW w:w="3123" w:type="dxa"/>
          </w:tcPr>
          <w:p w14:paraId="55548C35" w14:textId="77777777" w:rsidR="00B71CE9" w:rsidRDefault="00000000">
            <w:pPr>
              <w:pStyle w:val="ConsPlusNormal0"/>
            </w:pPr>
            <w:r>
              <w:t>С 01.07.2028 по 31.12.2028</w:t>
            </w:r>
          </w:p>
        </w:tc>
        <w:tc>
          <w:tcPr>
            <w:tcW w:w="2542" w:type="dxa"/>
          </w:tcPr>
          <w:p w14:paraId="2793B8ED" w14:textId="77777777" w:rsidR="00B71CE9" w:rsidRDefault="00000000">
            <w:pPr>
              <w:pStyle w:val="ConsPlusNormal0"/>
            </w:pPr>
            <w:r>
              <w:t>325,21</w:t>
            </w:r>
          </w:p>
        </w:tc>
      </w:tr>
    </w:tbl>
    <w:p w14:paraId="137DE8B3" w14:textId="77777777" w:rsidR="00B71CE9" w:rsidRDefault="00B71CE9">
      <w:pPr>
        <w:pStyle w:val="ConsPlusNormal0"/>
        <w:jc w:val="both"/>
      </w:pPr>
    </w:p>
    <w:sectPr w:rsidR="00B71CE9" w:rsidSect="0076409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26" w:right="566" w:bottom="426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82A7C" w14:textId="77777777" w:rsidR="007662AA" w:rsidRDefault="007662AA">
      <w:r>
        <w:separator/>
      </w:r>
    </w:p>
  </w:endnote>
  <w:endnote w:type="continuationSeparator" w:id="0">
    <w:p w14:paraId="2A606CFE" w14:textId="77777777" w:rsidR="007662AA" w:rsidRDefault="0076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A8B5A" w14:textId="2747EB74" w:rsidR="00B71CE9" w:rsidRDefault="00B71CE9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EF565" w14:textId="0F64C0DF" w:rsidR="00B71CE9" w:rsidRDefault="00B71CE9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943A2" w14:textId="77777777" w:rsidR="007662AA" w:rsidRDefault="007662AA">
      <w:r>
        <w:separator/>
      </w:r>
    </w:p>
  </w:footnote>
  <w:footnote w:type="continuationSeparator" w:id="0">
    <w:p w14:paraId="747FC9F9" w14:textId="77777777" w:rsidR="007662AA" w:rsidRDefault="00766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E1AC" w14:textId="77777777" w:rsidR="00B71CE9" w:rsidRDefault="00B71CE9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F6843" w14:textId="77777777" w:rsidR="00B71CE9" w:rsidRDefault="00B71CE9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E9"/>
    <w:rsid w:val="006338D1"/>
    <w:rsid w:val="00764092"/>
    <w:rsid w:val="007662AA"/>
    <w:rsid w:val="00B7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CFD06"/>
  <w15:docId w15:val="{4166B7C1-8770-4BDE-AC8B-900B4F3C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249</Words>
  <Characters>1424</Characters>
  <Application>Microsoft Office Word</Application>
  <DocSecurity>0</DocSecurity>
  <Lines>11</Lines>
  <Paragraphs>3</Paragraphs>
  <ScaleCrop>false</ScaleCrop>
  <Company>КонсультантПлюс Версия 4025.00.30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16.12.2025 N ДПР-ТР-322/25
"Об установлении на 2026-2028 годы долгосрочных тарифов на горячую воду (горячее водоснабжение), поставляемую казенным предприятием "Московская энергетическая дирекция" потребителям с использованием закрытой системы горячего водоснабжения от котельной по адресу: г. Москва, вн. тер. муниципальный округ Новопеределкино, ул. Новоорловская, д. 7Г"</dc:title>
  <dc:creator>Алексей Ярмоленко</dc:creator>
  <cp:lastModifiedBy>Алексей Ярмоленко</cp:lastModifiedBy>
  <cp:revision>2</cp:revision>
  <dcterms:created xsi:type="dcterms:W3CDTF">2025-12-24T03:00:00Z</dcterms:created>
  <dcterms:modified xsi:type="dcterms:W3CDTF">2025-12-24T03:00:00Z</dcterms:modified>
</cp:coreProperties>
</file>