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F3B63" w14:textId="77777777" w:rsidR="00811F5E" w:rsidRDefault="00811F5E" w:rsidP="00811F5E">
      <w:pPr>
        <w:pStyle w:val="ConsPlusNormal"/>
        <w:jc w:val="right"/>
        <w:outlineLvl w:val="0"/>
      </w:pPr>
      <w:r>
        <w:t>Приложение</w:t>
      </w:r>
    </w:p>
    <w:p w14:paraId="3C961CDB" w14:textId="77777777" w:rsidR="00811F5E" w:rsidRDefault="00811F5E" w:rsidP="00811F5E">
      <w:pPr>
        <w:pStyle w:val="ConsPlusNormal"/>
        <w:jc w:val="right"/>
      </w:pPr>
      <w:r>
        <w:t>к распоряжению Мэра Москвы</w:t>
      </w:r>
    </w:p>
    <w:p w14:paraId="65DDD9DE" w14:textId="33BD855F" w:rsidR="00811F5E" w:rsidRDefault="00811F5E" w:rsidP="00811F5E">
      <w:pPr>
        <w:pStyle w:val="ConsPlusNormal"/>
        <w:jc w:val="right"/>
      </w:pPr>
      <w:r>
        <w:t xml:space="preserve">от 26 ноября 2025 г. </w:t>
      </w:r>
      <w:r>
        <w:t>№</w:t>
      </w:r>
      <w:r>
        <w:t xml:space="preserve"> 732-РМ</w:t>
      </w:r>
    </w:p>
    <w:p w14:paraId="0AFC1176" w14:textId="77777777" w:rsidR="00811F5E" w:rsidRDefault="00811F5E" w:rsidP="00811F5E">
      <w:pPr>
        <w:pStyle w:val="ConsPlusNormal"/>
        <w:jc w:val="both"/>
      </w:pPr>
    </w:p>
    <w:p w14:paraId="0336A05B" w14:textId="77777777" w:rsidR="00811F5E" w:rsidRDefault="00811F5E" w:rsidP="00811F5E">
      <w:pPr>
        <w:pStyle w:val="ConsPlusNormal"/>
        <w:jc w:val="right"/>
      </w:pPr>
      <w:r>
        <w:t>Приложение</w:t>
      </w:r>
    </w:p>
    <w:p w14:paraId="61B27748" w14:textId="77777777" w:rsidR="00811F5E" w:rsidRDefault="00811F5E" w:rsidP="00811F5E">
      <w:pPr>
        <w:pStyle w:val="ConsPlusNormal"/>
        <w:jc w:val="right"/>
      </w:pPr>
      <w:r>
        <w:t>к распоряжению Мэра Москвы</w:t>
      </w:r>
    </w:p>
    <w:p w14:paraId="1696F627" w14:textId="3F92A09A" w:rsidR="00811F5E" w:rsidRDefault="00811F5E" w:rsidP="00811F5E">
      <w:pPr>
        <w:pStyle w:val="ConsPlusNormal"/>
        <w:jc w:val="right"/>
      </w:pPr>
      <w:r>
        <w:t xml:space="preserve">от 8 декабря 2023 г. </w:t>
      </w:r>
      <w:r>
        <w:t>№</w:t>
      </w:r>
      <w:r>
        <w:t xml:space="preserve"> 828-РМ</w:t>
      </w:r>
    </w:p>
    <w:p w14:paraId="386DFD5A" w14:textId="77777777" w:rsidR="00811F5E" w:rsidRDefault="00811F5E" w:rsidP="00811F5E">
      <w:pPr>
        <w:pStyle w:val="ConsPlusNormal"/>
        <w:jc w:val="both"/>
      </w:pPr>
    </w:p>
    <w:p w14:paraId="6E9D2E99" w14:textId="77777777" w:rsidR="00811F5E" w:rsidRDefault="00811F5E" w:rsidP="00811F5E">
      <w:pPr>
        <w:pStyle w:val="ConsPlusTitle"/>
        <w:jc w:val="center"/>
      </w:pPr>
      <w:bookmarkStart w:id="0" w:name="P30"/>
      <w:bookmarkEnd w:id="0"/>
      <w:r>
        <w:t>ПРЕДЕЛЬНЫЕ (МАКСИМАЛЬНЫЕ) ИНДЕКСЫ</w:t>
      </w:r>
    </w:p>
    <w:p w14:paraId="01411928" w14:textId="55A4653A" w:rsidR="00811F5E" w:rsidRDefault="00811F5E" w:rsidP="00811F5E">
      <w:pPr>
        <w:pStyle w:val="ConsPlusTitle"/>
        <w:jc w:val="center"/>
      </w:pPr>
      <w:r>
        <w:t>ИЗМЕНЕНИЯ РАЗМЕРА ВНОСИМОЙ ГРАЖДАНАМИ ПЛАТЫ ЗА КОММУНАЛЬНЫЕ</w:t>
      </w:r>
      <w:r>
        <w:t xml:space="preserve"> </w:t>
      </w:r>
      <w:r>
        <w:t>УСЛУГИ В ГОРОДЕ МОСКВЕ НА 2024-2028 ГОДЫ</w:t>
      </w:r>
    </w:p>
    <w:p w14:paraId="396EB374" w14:textId="77777777" w:rsidR="00811F5E" w:rsidRDefault="00811F5E" w:rsidP="00811F5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4248"/>
        <w:gridCol w:w="3175"/>
      </w:tblGrid>
      <w:tr w:rsidR="00811F5E" w14:paraId="4D304B4B" w14:textId="77777777" w:rsidTr="00A2444D">
        <w:tc>
          <w:tcPr>
            <w:tcW w:w="850" w:type="dxa"/>
          </w:tcPr>
          <w:p w14:paraId="66E72B27" w14:textId="1F1A092D" w:rsidR="00811F5E" w:rsidRDefault="00811F5E" w:rsidP="00A2444D">
            <w:pPr>
              <w:pStyle w:val="ConsPlusNormal"/>
              <w:jc w:val="center"/>
            </w:pPr>
            <w:r>
              <w:t>№</w:t>
            </w:r>
            <w:r>
              <w:t xml:space="preserve"> п/п</w:t>
            </w:r>
          </w:p>
        </w:tc>
        <w:tc>
          <w:tcPr>
            <w:tcW w:w="4248" w:type="dxa"/>
          </w:tcPr>
          <w:p w14:paraId="4D6F5D72" w14:textId="77777777" w:rsidR="00811F5E" w:rsidRDefault="00811F5E" w:rsidP="00A2444D">
            <w:pPr>
              <w:pStyle w:val="ConsPlusNormal"/>
              <w:jc w:val="center"/>
            </w:pPr>
            <w:r>
              <w:t>Период</w:t>
            </w:r>
          </w:p>
        </w:tc>
        <w:tc>
          <w:tcPr>
            <w:tcW w:w="3175" w:type="dxa"/>
          </w:tcPr>
          <w:p w14:paraId="4460B5EE" w14:textId="77777777" w:rsidR="00811F5E" w:rsidRDefault="00811F5E" w:rsidP="00A2444D">
            <w:pPr>
              <w:pStyle w:val="ConsPlusNormal"/>
              <w:jc w:val="center"/>
            </w:pPr>
            <w:r>
              <w:t>Средний индекс (процентов)</w:t>
            </w:r>
          </w:p>
        </w:tc>
      </w:tr>
      <w:tr w:rsidR="00811F5E" w14:paraId="2B022B15" w14:textId="77777777" w:rsidTr="00A2444D">
        <w:tc>
          <w:tcPr>
            <w:tcW w:w="850" w:type="dxa"/>
          </w:tcPr>
          <w:p w14:paraId="50C5624C" w14:textId="77777777" w:rsidR="00811F5E" w:rsidRDefault="00811F5E" w:rsidP="00A2444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248" w:type="dxa"/>
          </w:tcPr>
          <w:p w14:paraId="3F58E696" w14:textId="77777777" w:rsidR="00811F5E" w:rsidRDefault="00811F5E" w:rsidP="00A2444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175" w:type="dxa"/>
          </w:tcPr>
          <w:p w14:paraId="5092CE53" w14:textId="77777777" w:rsidR="00811F5E" w:rsidRDefault="00811F5E" w:rsidP="00A2444D">
            <w:pPr>
              <w:pStyle w:val="ConsPlusNormal"/>
              <w:jc w:val="center"/>
            </w:pPr>
            <w:r>
              <w:t>3</w:t>
            </w:r>
          </w:p>
        </w:tc>
      </w:tr>
      <w:tr w:rsidR="00811F5E" w14:paraId="3BAC21AD" w14:textId="77777777" w:rsidTr="00A2444D">
        <w:tc>
          <w:tcPr>
            <w:tcW w:w="850" w:type="dxa"/>
          </w:tcPr>
          <w:p w14:paraId="0D3B91CF" w14:textId="77777777" w:rsidR="00811F5E" w:rsidRDefault="00811F5E" w:rsidP="00A2444D">
            <w:pPr>
              <w:pStyle w:val="ConsPlusNormal"/>
            </w:pPr>
            <w:r>
              <w:t>1</w:t>
            </w:r>
          </w:p>
        </w:tc>
        <w:tc>
          <w:tcPr>
            <w:tcW w:w="4248" w:type="dxa"/>
          </w:tcPr>
          <w:p w14:paraId="4155691F" w14:textId="77777777" w:rsidR="00811F5E" w:rsidRDefault="00811F5E" w:rsidP="00A2444D">
            <w:pPr>
              <w:pStyle w:val="ConsPlusNormal"/>
            </w:pPr>
            <w:r>
              <w:t>с 1 января по 30 июня 2024 г.</w:t>
            </w:r>
          </w:p>
        </w:tc>
        <w:tc>
          <w:tcPr>
            <w:tcW w:w="3175" w:type="dxa"/>
          </w:tcPr>
          <w:p w14:paraId="04AEA993" w14:textId="77777777" w:rsidR="00811F5E" w:rsidRDefault="00811F5E" w:rsidP="00A2444D">
            <w:pPr>
              <w:pStyle w:val="ConsPlusNormal"/>
            </w:pPr>
            <w:r>
              <w:t>0</w:t>
            </w:r>
          </w:p>
        </w:tc>
      </w:tr>
      <w:tr w:rsidR="00811F5E" w14:paraId="3C620D3F" w14:textId="77777777" w:rsidTr="00A2444D">
        <w:tc>
          <w:tcPr>
            <w:tcW w:w="850" w:type="dxa"/>
          </w:tcPr>
          <w:p w14:paraId="5594C94E" w14:textId="77777777" w:rsidR="00811F5E" w:rsidRDefault="00811F5E" w:rsidP="00A2444D">
            <w:pPr>
              <w:pStyle w:val="ConsPlusNormal"/>
            </w:pPr>
            <w:r>
              <w:t>2</w:t>
            </w:r>
          </w:p>
        </w:tc>
        <w:tc>
          <w:tcPr>
            <w:tcW w:w="4248" w:type="dxa"/>
          </w:tcPr>
          <w:p w14:paraId="47FB9EE9" w14:textId="77777777" w:rsidR="00811F5E" w:rsidRDefault="00811F5E" w:rsidP="00A2444D">
            <w:pPr>
              <w:pStyle w:val="ConsPlusNormal"/>
            </w:pPr>
            <w:r>
              <w:t>с 1 июля по 31 декабря 2024 г.</w:t>
            </w:r>
          </w:p>
        </w:tc>
        <w:tc>
          <w:tcPr>
            <w:tcW w:w="3175" w:type="dxa"/>
          </w:tcPr>
          <w:p w14:paraId="1B0C27DD" w14:textId="77777777" w:rsidR="00811F5E" w:rsidRDefault="00811F5E" w:rsidP="00A2444D">
            <w:pPr>
              <w:pStyle w:val="ConsPlusNormal"/>
            </w:pPr>
            <w:r>
              <w:t>11,0</w:t>
            </w:r>
          </w:p>
        </w:tc>
      </w:tr>
      <w:tr w:rsidR="00811F5E" w14:paraId="4D1F3413" w14:textId="77777777" w:rsidTr="00A2444D">
        <w:tc>
          <w:tcPr>
            <w:tcW w:w="850" w:type="dxa"/>
          </w:tcPr>
          <w:p w14:paraId="18A2FA10" w14:textId="77777777" w:rsidR="00811F5E" w:rsidRDefault="00811F5E" w:rsidP="00A2444D">
            <w:pPr>
              <w:pStyle w:val="ConsPlusNormal"/>
            </w:pPr>
            <w:r>
              <w:t>3</w:t>
            </w:r>
          </w:p>
        </w:tc>
        <w:tc>
          <w:tcPr>
            <w:tcW w:w="4248" w:type="dxa"/>
          </w:tcPr>
          <w:p w14:paraId="3F5FF8ED" w14:textId="77777777" w:rsidR="00811F5E" w:rsidRDefault="00811F5E" w:rsidP="00A2444D">
            <w:pPr>
              <w:pStyle w:val="ConsPlusNormal"/>
            </w:pPr>
            <w:r>
              <w:t>с 1 января по 30 июня 2025 г.</w:t>
            </w:r>
          </w:p>
        </w:tc>
        <w:tc>
          <w:tcPr>
            <w:tcW w:w="3175" w:type="dxa"/>
          </w:tcPr>
          <w:p w14:paraId="5FDD7004" w14:textId="77777777" w:rsidR="00811F5E" w:rsidRDefault="00811F5E" w:rsidP="00A2444D">
            <w:pPr>
              <w:pStyle w:val="ConsPlusNormal"/>
            </w:pPr>
            <w:r>
              <w:t>0</w:t>
            </w:r>
          </w:p>
        </w:tc>
      </w:tr>
      <w:tr w:rsidR="00811F5E" w14:paraId="018FBE96" w14:textId="77777777" w:rsidTr="00A2444D">
        <w:tc>
          <w:tcPr>
            <w:tcW w:w="850" w:type="dxa"/>
          </w:tcPr>
          <w:p w14:paraId="411DA8F3" w14:textId="77777777" w:rsidR="00811F5E" w:rsidRDefault="00811F5E" w:rsidP="00A2444D">
            <w:pPr>
              <w:pStyle w:val="ConsPlusNormal"/>
            </w:pPr>
            <w:r>
              <w:t>4</w:t>
            </w:r>
          </w:p>
        </w:tc>
        <w:tc>
          <w:tcPr>
            <w:tcW w:w="4248" w:type="dxa"/>
          </w:tcPr>
          <w:p w14:paraId="29E74945" w14:textId="77777777" w:rsidR="00811F5E" w:rsidRDefault="00811F5E" w:rsidP="00A2444D">
            <w:pPr>
              <w:pStyle w:val="ConsPlusNormal"/>
            </w:pPr>
            <w:r>
              <w:t>с 1 июля по 31 декабря 2025 г.</w:t>
            </w:r>
          </w:p>
        </w:tc>
        <w:tc>
          <w:tcPr>
            <w:tcW w:w="3175" w:type="dxa"/>
          </w:tcPr>
          <w:p w14:paraId="28F2B17D" w14:textId="77777777" w:rsidR="00811F5E" w:rsidRDefault="00811F5E" w:rsidP="00A2444D">
            <w:pPr>
              <w:pStyle w:val="ConsPlusNormal"/>
            </w:pPr>
            <w:r>
              <w:t>15,0</w:t>
            </w:r>
          </w:p>
        </w:tc>
      </w:tr>
      <w:tr w:rsidR="00811F5E" w14:paraId="617C767D" w14:textId="77777777" w:rsidTr="00A2444D">
        <w:tc>
          <w:tcPr>
            <w:tcW w:w="850" w:type="dxa"/>
          </w:tcPr>
          <w:p w14:paraId="028F407C" w14:textId="77777777" w:rsidR="00811F5E" w:rsidRDefault="00811F5E" w:rsidP="00A2444D">
            <w:pPr>
              <w:pStyle w:val="ConsPlusNormal"/>
            </w:pPr>
            <w:r>
              <w:t>5</w:t>
            </w:r>
          </w:p>
        </w:tc>
        <w:tc>
          <w:tcPr>
            <w:tcW w:w="4248" w:type="dxa"/>
          </w:tcPr>
          <w:p w14:paraId="4CA98D2B" w14:textId="77777777" w:rsidR="00811F5E" w:rsidRDefault="00811F5E" w:rsidP="00A2444D">
            <w:pPr>
              <w:pStyle w:val="ConsPlusNormal"/>
            </w:pPr>
            <w:r>
              <w:t>с 1 января по 30 сентября 2026 г.</w:t>
            </w:r>
          </w:p>
        </w:tc>
        <w:tc>
          <w:tcPr>
            <w:tcW w:w="3175" w:type="dxa"/>
          </w:tcPr>
          <w:p w14:paraId="1F9991D6" w14:textId="77777777" w:rsidR="00811F5E" w:rsidRDefault="00811F5E" w:rsidP="00A2444D">
            <w:pPr>
              <w:pStyle w:val="ConsPlusNormal"/>
            </w:pPr>
            <w:r>
              <w:t>1,7</w:t>
            </w:r>
          </w:p>
        </w:tc>
      </w:tr>
      <w:tr w:rsidR="00811F5E" w14:paraId="65B7CA30" w14:textId="77777777" w:rsidTr="00A2444D">
        <w:tc>
          <w:tcPr>
            <w:tcW w:w="850" w:type="dxa"/>
          </w:tcPr>
          <w:p w14:paraId="7EDA78A4" w14:textId="77777777" w:rsidR="00811F5E" w:rsidRDefault="00811F5E" w:rsidP="00A2444D">
            <w:pPr>
              <w:pStyle w:val="ConsPlusNormal"/>
            </w:pPr>
            <w:r>
              <w:t>6</w:t>
            </w:r>
          </w:p>
        </w:tc>
        <w:tc>
          <w:tcPr>
            <w:tcW w:w="4248" w:type="dxa"/>
          </w:tcPr>
          <w:p w14:paraId="1E53269D" w14:textId="77777777" w:rsidR="00811F5E" w:rsidRDefault="00811F5E" w:rsidP="00A2444D">
            <w:pPr>
              <w:pStyle w:val="ConsPlusNormal"/>
            </w:pPr>
            <w:r>
              <w:t>с 1 октября по 31 декабря 2026 г.</w:t>
            </w:r>
          </w:p>
        </w:tc>
        <w:tc>
          <w:tcPr>
            <w:tcW w:w="3175" w:type="dxa"/>
          </w:tcPr>
          <w:p w14:paraId="76FD1266" w14:textId="77777777" w:rsidR="00811F5E" w:rsidRDefault="00811F5E" w:rsidP="00A2444D">
            <w:pPr>
              <w:pStyle w:val="ConsPlusNormal"/>
            </w:pPr>
            <w:r>
              <w:t>13,0</w:t>
            </w:r>
          </w:p>
        </w:tc>
      </w:tr>
      <w:tr w:rsidR="00811F5E" w14:paraId="3F3A2A57" w14:textId="77777777" w:rsidTr="00A2444D">
        <w:tc>
          <w:tcPr>
            <w:tcW w:w="850" w:type="dxa"/>
          </w:tcPr>
          <w:p w14:paraId="56D48C72" w14:textId="77777777" w:rsidR="00811F5E" w:rsidRDefault="00811F5E" w:rsidP="00A2444D">
            <w:pPr>
              <w:pStyle w:val="ConsPlusNormal"/>
            </w:pPr>
            <w:r>
              <w:t>7</w:t>
            </w:r>
          </w:p>
        </w:tc>
        <w:tc>
          <w:tcPr>
            <w:tcW w:w="4248" w:type="dxa"/>
          </w:tcPr>
          <w:p w14:paraId="331CD8AB" w14:textId="77777777" w:rsidR="00811F5E" w:rsidRDefault="00811F5E" w:rsidP="00A2444D">
            <w:pPr>
              <w:pStyle w:val="ConsPlusNormal"/>
            </w:pPr>
            <w:r>
              <w:t>2027-2028 годы</w:t>
            </w:r>
          </w:p>
        </w:tc>
        <w:tc>
          <w:tcPr>
            <w:tcW w:w="3175" w:type="dxa"/>
          </w:tcPr>
          <w:p w14:paraId="74B0D722" w14:textId="77777777" w:rsidR="00811F5E" w:rsidRDefault="00811F5E" w:rsidP="00A2444D">
            <w:pPr>
              <w:pStyle w:val="ConsPlusNormal"/>
            </w:pPr>
            <w:r>
              <w:rPr>
                <w:noProof/>
                <w:position w:val="-8"/>
              </w:rPr>
              <w:drawing>
                <wp:inline distT="0" distB="0" distL="0" distR="0" wp14:anchorId="3A55EFD7" wp14:editId="0DDED8CF">
                  <wp:extent cx="1937385" cy="265430"/>
                  <wp:effectExtent l="0" t="0" r="0" b="0"/>
                  <wp:docPr id="164506430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7385" cy="265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77102A" w14:textId="77777777" w:rsidR="00811F5E" w:rsidRDefault="00811F5E" w:rsidP="00811F5E">
      <w:pPr>
        <w:pStyle w:val="ConsPlusNormal"/>
        <w:jc w:val="both"/>
      </w:pPr>
    </w:p>
    <w:p w14:paraId="33B3FCD1" w14:textId="77777777" w:rsidR="00811F5E" w:rsidRDefault="00811F5E" w:rsidP="00811F5E">
      <w:pPr>
        <w:pStyle w:val="ConsPlusNormal"/>
        <w:ind w:firstLine="540"/>
        <w:jc w:val="both"/>
      </w:pPr>
      <w:r>
        <w:t>Примечание. На 2027-2028 годы средний индекс установлен в виде формулы, в которой:</w:t>
      </w:r>
    </w:p>
    <w:p w14:paraId="1AF6A470" w14:textId="77777777" w:rsidR="00811F5E" w:rsidRDefault="00811F5E" w:rsidP="00811F5E">
      <w:pPr>
        <w:pStyle w:val="ConsPlusNormal"/>
        <w:spacing w:before="240"/>
        <w:ind w:firstLine="540"/>
        <w:jc w:val="both"/>
      </w:pPr>
      <w:r>
        <w:t>- ИПЦ</w:t>
      </w:r>
      <w:r>
        <w:rPr>
          <w:vertAlign w:val="subscript"/>
        </w:rPr>
        <w:t>g-1</w:t>
      </w:r>
      <w:r>
        <w:t xml:space="preserve"> - индекс потребительских цен (декабрь к декабрю) согласно прогнозу социально-экономического развития Российской Федерации на год, предшествующий году, на который рассчитываются индексы изменения размера вносимой гражданами платы за коммунальные услуги (по итогам 9 месяцев) (процентов);</w:t>
      </w:r>
    </w:p>
    <w:p w14:paraId="030F0D3F" w14:textId="77777777" w:rsidR="00811F5E" w:rsidRDefault="00811F5E" w:rsidP="00811F5E">
      <w:pPr>
        <w:pStyle w:val="ConsPlusNormal"/>
        <w:spacing w:before="240"/>
        <w:ind w:firstLine="540"/>
        <w:jc w:val="both"/>
      </w:pPr>
      <w:r>
        <w:t xml:space="preserve">- </w:t>
      </w:r>
      <w:proofErr w:type="spellStart"/>
      <w:r>
        <w:t>К</w:t>
      </w:r>
      <w:r>
        <w:rPr>
          <w:vertAlign w:val="subscript"/>
        </w:rPr>
        <w:t>g</w:t>
      </w:r>
      <w:proofErr w:type="spellEnd"/>
      <w:r>
        <w:t xml:space="preserve"> - понижающий (повышающий) коэффициент на соответствующий год долгосрочного периода, определяемый с учетом прогноза социально-экономического развития Российской Федерации;</w:t>
      </w:r>
    </w:p>
    <w:p w14:paraId="737BD1F8" w14:textId="77777777" w:rsidR="00811F5E" w:rsidRDefault="00811F5E" w:rsidP="00811F5E">
      <w:pPr>
        <w:pStyle w:val="ConsPlusNormal"/>
        <w:spacing w:before="240"/>
        <w:ind w:firstLine="540"/>
        <w:jc w:val="both"/>
      </w:pPr>
      <w:r>
        <w:t xml:space="preserve">- </w:t>
      </w:r>
      <w:r>
        <w:rPr>
          <w:noProof/>
          <w:position w:val="-3"/>
        </w:rPr>
        <w:drawing>
          <wp:inline distT="0" distB="0" distL="0" distR="0" wp14:anchorId="39303E8A" wp14:editId="0ADBF699">
            <wp:extent cx="171450" cy="194310"/>
            <wp:effectExtent l="0" t="0" r="0" b="0"/>
            <wp:docPr id="39879718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величина превышения фактического роста платы граждан за коммунальные услуги в городе Москве над установленным индексом изменения размера вносимой гражданами платы за коммунальные услуги;</w:t>
      </w:r>
    </w:p>
    <w:p w14:paraId="70331E1D" w14:textId="77777777" w:rsidR="00811F5E" w:rsidRDefault="00811F5E" w:rsidP="00811F5E">
      <w:pPr>
        <w:pStyle w:val="ConsPlusNormal"/>
        <w:spacing w:before="240"/>
        <w:ind w:firstLine="540"/>
        <w:jc w:val="both"/>
      </w:pPr>
      <w:r>
        <w:t xml:space="preserve">- </w:t>
      </w:r>
      <w:proofErr w:type="spellStart"/>
      <w:r>
        <w:t>К</w:t>
      </w:r>
      <w:r>
        <w:rPr>
          <w:vertAlign w:val="superscript"/>
        </w:rPr>
        <w:t>суб</w:t>
      </w:r>
      <w:r>
        <w:rPr>
          <w:vertAlign w:val="subscript"/>
        </w:rPr>
        <w:t>тэр</w:t>
      </w:r>
      <w:proofErr w:type="spellEnd"/>
      <w:r>
        <w:t xml:space="preserve"> - коэффициент, учитывающий изменение стоимости энергоресурсов, используемых при производстве и (или) предоставлении коммунальных услуг в году, предшествующем периоду, на который рассчитываются индексы изменения размера вносимой гражданами платы за коммунальные услуги.</w:t>
      </w:r>
    </w:p>
    <w:sectPr w:rsidR="00811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C11"/>
    <w:rsid w:val="00811F5E"/>
    <w:rsid w:val="00992C11"/>
    <w:rsid w:val="00E81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9EE7B"/>
  <w15:chartTrackingRefBased/>
  <w15:docId w15:val="{42C59ECB-B104-47A7-8BEC-71875A0F6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F5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92C1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2C1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2C1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2C1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2C1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2C1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2C1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2C1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2C1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2C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92C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92C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92C1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92C1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92C1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92C1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92C1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92C1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92C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92C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92C1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92C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92C1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92C1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92C1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992C1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92C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92C1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92C11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811F5E"/>
    <w:pPr>
      <w:spacing w:after="0" w:line="240" w:lineRule="auto"/>
    </w:pPr>
  </w:style>
  <w:style w:type="paragraph" w:customStyle="1" w:styleId="ConsPlusNormal">
    <w:name w:val="ConsPlusNormal"/>
    <w:rsid w:val="00811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ru-RU"/>
      <w14:ligatures w14:val="none"/>
    </w:rPr>
  </w:style>
  <w:style w:type="paragraph" w:customStyle="1" w:styleId="ConsPlusTitle">
    <w:name w:val="ConsPlusTitle"/>
    <w:rsid w:val="00811F5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2025-12-05T03:05:00Z</dcterms:created>
  <dcterms:modified xsi:type="dcterms:W3CDTF">2025-12-05T03:08:00Z</dcterms:modified>
</cp:coreProperties>
</file>