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442D8" w14:textId="5A06149C" w:rsidR="004F5650" w:rsidRDefault="004F5650" w:rsidP="009B7B91"/>
    <w:p w14:paraId="5D8F4043" w14:textId="77777777" w:rsidR="009B7B91" w:rsidRPr="009B7B91" w:rsidRDefault="009B7B91" w:rsidP="009B7B91">
      <w:pPr>
        <w:widowControl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bidi="ar-SA"/>
        </w:rPr>
        <w:t>ПРАВИТЕЛЬСТВО МОСКОВСКОЙ ОБЛАСТИ</w:t>
      </w:r>
    </w:p>
    <w:p w14:paraId="5BA1326A" w14:textId="77777777" w:rsidR="009B7B91" w:rsidRPr="009B7B91" w:rsidRDefault="009B7B91" w:rsidP="009B7B91">
      <w:pPr>
        <w:widowControl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bidi="ar-SA"/>
        </w:rPr>
        <w:t>РАСПОРЯЖЕНИЕ</w:t>
      </w:r>
    </w:p>
    <w:p w14:paraId="5217F1CF" w14:textId="77777777" w:rsidR="009B7B91" w:rsidRPr="009B7B91" w:rsidRDefault="009B7B91" w:rsidP="009B7B91">
      <w:pPr>
        <w:widowControl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bidi="ar-SA"/>
        </w:rPr>
        <w:t>от 14 апреля 2022 г. № 260-РП</w:t>
      </w:r>
    </w:p>
    <w:p w14:paraId="7BA48237" w14:textId="77777777" w:rsidR="009B7B91" w:rsidRPr="009B7B91" w:rsidRDefault="009B7B91" w:rsidP="009B7B91">
      <w:pPr>
        <w:widowControl/>
        <w:pBdr>
          <w:bottom w:val="dashed" w:sz="6" w:space="0" w:color="555555"/>
        </w:pBdr>
        <w:spacing w:line="480" w:lineRule="atLeast"/>
        <w:jc w:val="center"/>
        <w:textAlignment w:val="baseline"/>
        <w:outlineLvl w:val="0"/>
        <w:rPr>
          <w:rFonts w:ascii="Georgia" w:eastAsia="Times New Roman" w:hAnsi="Georgia" w:cs="Times New Roman"/>
          <w:b/>
          <w:bCs/>
          <w:color w:val="800060"/>
          <w:kern w:val="36"/>
          <w:sz w:val="32"/>
          <w:szCs w:val="32"/>
          <w:lang w:bidi="ar-SA"/>
        </w:rPr>
      </w:pPr>
      <w:r w:rsidRPr="009B7B91">
        <w:rPr>
          <w:rFonts w:ascii="Georgia" w:eastAsia="Times New Roman" w:hAnsi="Georgia" w:cs="Times New Roman"/>
          <w:b/>
          <w:bCs/>
          <w:color w:val="800060"/>
          <w:kern w:val="36"/>
          <w:sz w:val="32"/>
          <w:szCs w:val="32"/>
          <w:lang w:bidi="ar-SA"/>
        </w:rPr>
        <w:t>О подготовке объектов топливно-энергетического комплекса, жилищно-коммунального хозяйства и социальной сферы в Московской области к осенне-зимнему периоду 2022/2023 года.</w:t>
      </w:r>
    </w:p>
    <w:p w14:paraId="71246706" w14:textId="77777777" w:rsidR="009B7B91" w:rsidRPr="009B7B91" w:rsidRDefault="009B7B91" w:rsidP="009B7B91">
      <w:pPr>
        <w:widowControl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14:paraId="1C913284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bidi="ar-SA"/>
        </w:rPr>
        <w:t>В соответствии со статьей 26</w:t>
      </w:r>
      <w:r w:rsidRPr="009B7B91">
        <w:rPr>
          <w:rFonts w:ascii="Times New Roman" w:eastAsia="Times New Roman" w:hAnsi="Times New Roman" w:cs="Times New Roman"/>
          <w:bdr w:val="none" w:sz="0" w:space="0" w:color="auto" w:frame="1"/>
          <w:vertAlign w:val="superscript"/>
          <w:lang w:bidi="ar-SA"/>
        </w:rPr>
        <w:t>3</w:t>
      </w:r>
      <w:r w:rsidRPr="009B7B9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bidi="ar-SA"/>
        </w:rPr>
        <w:t> Федерального закона от 06.10.1999 №184-ФЗ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в целях подготовки объектов топливно-энергетического комплекса, жилищно-коммунального хозяйства и социальной сферы в Московской области (далее - объекты ТЭК, ЖКХ и соцсферы) к осенне-зимнему периоду 2022/2023 годов:</w:t>
      </w:r>
    </w:p>
    <w:p w14:paraId="094BA3A2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1.Министерству здравоохранения Московской области, Министерству культуры Московской области, Министерству социального развития Московской области, Министерству образования Московской области, Министерству физической культуры и спорта Московской области:</w:t>
      </w:r>
    </w:p>
    <w:p w14:paraId="35D141BD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1) в срок до 30 апреля 2022 года провести проверки технического состояния объектов ТЭК, ЖКХ и соцсферы, находящихся на балансе подведомственных организаций;</w:t>
      </w:r>
    </w:p>
    <w:p w14:paraId="37D3B8DE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2) по результатам проверок в срок до 15 мая 2022 года утвердить и представить в Министерство энергетики Московской области комплексные планы мероприятий по подготовке объектов ТЭК, ЖКХ и соцсферы, находящихся на балансе подведомственных организаций, к осенне-зимнему периоду 2022/2023 </w:t>
      </w:r>
      <w:r w:rsidRPr="009B7B9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bidi="ar-SA"/>
        </w:rPr>
        <w:t>годов;</w:t>
      </w:r>
    </w:p>
    <w:p w14:paraId="5067E1E2" w14:textId="2CCA6AAF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3) осуществлять контроль за проведением гидравлических испытаний </w:t>
      </w:r>
      <w:r w:rsidRPr="009B7B9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bidi="ar-SA"/>
        </w:rPr>
        <w:t>тепловых сетей, находящихся на балансе подведомственных организаций, со дня завершения отопительного периода 2021/2022 годов и до 1 сентября 2022 года. В срок до 10 сентября 2022 года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bidi="ar-SA"/>
        </w:rPr>
        <w:t xml:space="preserve"> </w:t>
      </w:r>
      <w:r w:rsidRPr="009B7B9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bidi="ar-SA"/>
        </w:rPr>
        <w:t>представить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bidi="ar-SA"/>
        </w:rPr>
        <w:t xml:space="preserve"> </w:t>
      </w:r>
      <w:r w:rsidRPr="009B7B9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bidi="ar-SA"/>
        </w:rPr>
        <w:t>в Министерство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bidi="ar-SA"/>
        </w:rPr>
        <w:t xml:space="preserve"> </w:t>
      </w:r>
      <w:r w:rsidRPr="009B7B9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bidi="ar-SA"/>
        </w:rPr>
        <w:t>энергетики Московской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bidi="ar-SA"/>
        </w:rPr>
        <w:t xml:space="preserve"> </w:t>
      </w:r>
      <w:r w:rsidRPr="009B7B9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bidi="ar-SA"/>
        </w:rPr>
        <w:t>области реестры актов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bidi="ar-SA"/>
        </w:rPr>
        <w:t xml:space="preserve"> </w:t>
      </w:r>
      <w:r w:rsidRPr="009B7B9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bidi="ar-SA"/>
        </w:rPr>
        <w:t>проведения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bidi="ar-SA"/>
        </w:rPr>
        <w:t xml:space="preserve"> </w:t>
      </w:r>
      <w:r w:rsidRPr="009B7B9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bidi="ar-SA"/>
        </w:rPr>
        <w:t>гидравлических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bidi="ar-SA"/>
        </w:rPr>
        <w:t xml:space="preserve"> </w:t>
      </w:r>
      <w:r w:rsidRPr="009B7B9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bidi="ar-SA"/>
        </w:rPr>
        <w:t>испытаний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bidi="ar-SA"/>
        </w:rPr>
        <w:t xml:space="preserve"> </w:t>
      </w:r>
      <w:r w:rsidRPr="009B7B9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bidi="ar-SA"/>
        </w:rPr>
        <w:t>тепловых сетей, находящихся на балансе подведомственных организаций;</w:t>
      </w:r>
    </w:p>
    <w:p w14:paraId="3C516EA6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4) осуществлять контроль за подготовкой к осенне-зимнему периоду </w:t>
      </w:r>
      <w:r w:rsidRPr="009B7B9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bidi="ar-SA"/>
        </w:rPr>
        <w:t>2022/2023 годов объектов ТЭК, ЖКХ и соцсферы, находящихся на балансе подведомственных организаций. В срок до 15 сентября 2022 года обеспечить получение паспортов готовности к осенне-зимнему периоду 2022/2023 годов жилищного фонда и объектов социальной сферы, находящихся на балансе подведомственных организаций;</w:t>
      </w:r>
    </w:p>
    <w:p w14:paraId="1B0E9E17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5) осуществлять контроль за обеспечением объектов ТЭК, ЖКХ и соцсферы, находящихся на балансе подведомственных организаций, автономными резервными источниками электропитания и повышением категорийности их </w:t>
      </w: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lastRenderedPageBreak/>
        <w:t>электроснабжения. В срок, до 1 ноября 2022 года обеспечить получение паспортов готовности объектов ТЭК к отопительному периоду 2022/2023 годов в подведомственных организациях;</w:t>
      </w:r>
    </w:p>
    <w:p w14:paraId="1AD38C49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6) предусмотреть укомплектование подготовленным эксплуатационным персоналом объектов ТЭК, ЖКХ и соцсферы либо привлечение специализированных эксплуатационных организаций;</w:t>
      </w:r>
    </w:p>
    <w:p w14:paraId="40B97B46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7) осуществлять контроль за обеспечением котельных подведомственных организаций нормативным запасом жидкого (в том числе резервного) и твердого топлива.</w:t>
      </w:r>
    </w:p>
    <w:p w14:paraId="26BB1375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2. Министерству жилищно-коммунального хозяйства Московской области осуществлять взаимодействие с органами местного самоуправления муниципальных образований Московской области, организациями жилищно-коммунального хозяйства Московской области по подготовке многоквартирных домов, объектов водоснабжения и водоотведения к осенне-зимнему периоду 2022/2023 годов.</w:t>
      </w:r>
    </w:p>
    <w:p w14:paraId="71E63FF9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3. Министерству энергетики Московской области:</w:t>
      </w:r>
    </w:p>
    <w:p w14:paraId="293136CF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1) осуществлять взаимодействие с органами местного самоуправления муниципальных образований Московской области, организациями топливно-энергетического комплекса Московской области по подготовке объектов ТЭК, ЖКХ и соцсферы, накоплению нормативных запасов жидкого (в том числе резервного) и твердого топлива для котельных и формированию аварийных запасов материаль но -технических ресурсов эксплуатирующих организаций в муниципальных образованиях Московской области в целях устойчивого</w:t>
      </w:r>
    </w:p>
    <w:p w14:paraId="601066B5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прохождения отопительного периода 2022/2023 годов;</w:t>
      </w:r>
    </w:p>
    <w:p w14:paraId="704120D7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2) в ходе подготовки и прохождения осенне-зимнего периода 2022/2023 годов проводить комплекс мероприятий по мониторингу запасов топлива, создаваемых на котельных, а также на электростанциях, расположенных на территории Московской области, осуществляющих производство в режиме комбинированной выработки электрической и тепловой энергии;</w:t>
      </w:r>
    </w:p>
    <w:p w14:paraId="0D95D850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3) принять участие в проверках готовности аварийно-восстановительных формирований организаций жилищно-коммунального хозяйства муниципальных образований Московской области к ликвидации аварийных и чрезвычайных ситуаций на объектах жизнеобеспечения населения;</w:t>
      </w:r>
    </w:p>
    <w:p w14:paraId="48982072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4) организовать комплексное обследование готовности к работе в осенне-зимний период 2022/2023 годов субъектов электроэнергетики, владеющих на праве собственности объектами электросетевого хозяйства высшего </w:t>
      </w:r>
      <w:r w:rsidRPr="009B7B91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bidi="ar-SA"/>
        </w:rPr>
        <w:t>класса </w:t>
      </w: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номинального напряжения 110 кВ и ниже, организаций, владеющих объектами по производству электроэнергии суммарной установленной мощностью ниже 25 МВт, потребителей электроэнергии, владеющих, объектами электроэнергетики любого класса напряжения, в отношении которых не проводится оценка готовности Министерством энергетики Российской Федерации, расположенных на территории Московской области и обеспечивающих электроэнергией население, объекты жизнеобеспечения и соцсферы. В срок до 1 ноября 2022 года по результатам </w:t>
      </w: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lastRenderedPageBreak/>
        <w:t>работы комиссий, на основании подписанных актов комплексного обследования выдать паспорта готовности субъектов электроэнергетики к осенне-зимнему периоду 2022/2023 годов.</w:t>
      </w:r>
    </w:p>
    <w:p w14:paraId="0F2195C6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4. Главному управлению Московской области «Государственная жилищная инспекция Московской области»:</w:t>
      </w:r>
    </w:p>
    <w:p w14:paraId="167B9709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1) осуществлять взаимодействие с органами местного самоуправления муниципальных образований Московской области по проведению проверок готовности многоквартирных домов к осенне-зимнему периоду 2022/2023 годов;</w:t>
      </w:r>
    </w:p>
    <w:p w14:paraId="1E5E0066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2) в срок до 15 сентября 2022 года провести выборочные проверки не менее 30 процентов многоквартирных домов в каждом муниципальном образовании Московской области в соответствии с представленными органами местного самоуправления муниципальных образований Московской области паспортами готовности многоквартирных домов к. эксплуатации в осенне-зимний период 2022/2023 годов.</w:t>
      </w:r>
    </w:p>
    <w:p w14:paraId="17421183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5. Главному управлению содержания территорий Московской области осуществлять взаимодействие с органами местного самоуправления муниципальных образований Московской области по подготовке и проверкам готовности </w:t>
      </w:r>
      <w:r w:rsidRPr="009B7B9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bidi="ar-SA"/>
        </w:rPr>
        <w:t>к осенне-зимнему периоду 2022/2023 годов организаций жилищно-коммунального хозяйства, обеспечивающих содержание дворовых и общественных территорий, их укомплектованности техникой и запасами материальных ресурсов.</w:t>
      </w:r>
    </w:p>
    <w:p w14:paraId="5CA69ADE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6. Рекомендовать органам местного самоуправления муниципальных образований Московской области:</w:t>
      </w:r>
    </w:p>
    <w:p w14:paraId="7E900D0A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1) сформировать в соответствующем муниципальном образовании Московской области постоянно действующий штаб по подготовке объектов ТЭК, ЖКХ и соцсферы независимо от их форм собственности к осенне-зимнему периоду 2022/2023 годов и проведению отопительного периода (далее - штаб), в том числе:</w:t>
      </w:r>
    </w:p>
    <w:p w14:paraId="77512307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определить ответственных должностных лиц за выполнение мероприятий по подготовке объектов к осенне-зимнему периоду 2022/2023 годов;</w:t>
      </w:r>
    </w:p>
    <w:p w14:paraId="7EB9C10B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определить ответственных должностных лиц за организацию мероприятий по устранению возможных технологических сбоев, аварийных ситуаций в отопительном периоде;</w:t>
      </w:r>
    </w:p>
    <w:p w14:paraId="372FCCCA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предусмотреть включение в состав штаба представителя Министерства энергетики Московской области;</w:t>
      </w:r>
    </w:p>
    <w:p w14:paraId="3FD03CB9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определить регламент взаимодействия штаба с ресурсоснабжающими организациями, потребителями тепловой энергии, ремонтно-строительными и транспортными организациями при устранении возможных технологических сбоев, аварийных ситуаций в отопительном периоде 2022/2023 годов (далее - регламент);</w:t>
      </w:r>
    </w:p>
    <w:p w14:paraId="32B648CB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предусмотреть в регламенте процедуру принятия решения о выполнении мероприятий по сливу теплоносителя из систем отопления потребителей;</w:t>
      </w:r>
    </w:p>
    <w:p w14:paraId="16136772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2) в срок до 30 апреля 2022 года провести проверки технического состояния объектов ТЭК, ЖКХ и соцсферы, по результатам проверок представить в </w:t>
      </w: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lastRenderedPageBreak/>
        <w:t>Министерство энергетики Московской области утвержденные комплексные планы мероприятий по подготовке объектов ТЭК, ЖКХ и соцсферы независимо от их форм собственности к осенне-зимнему периоду 2022/2023 годов;</w:t>
      </w:r>
    </w:p>
    <w:p w14:paraId="01742FC6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3) в срок до 30 апреля 2022 года представить в Главное управление Московской области «Государственная жилищная инспекция Московской области» утвержденные планы - графики готовности многоквартирных домов к эксплуатации в отопительный период 2022/2023 годов;</w:t>
      </w:r>
    </w:p>
    <w:p w14:paraId="61596A9C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4) в срок до 1 июня 2022 года образовать комиссии по проверке готовности теплоснабжающих организаций и потребителей тепловой энергии к осенне-зимнему периоду 2022/2023 годов, разработать и утвердить программы проведения проверок;</w:t>
      </w:r>
    </w:p>
    <w:p w14:paraId="3E5BDEE8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5) образовать комиссии по проведению гидравлических испытаний тепловых сетей, обследованию основного оборудования котельных и резервуаров жидкого топлива (в том числе резервного) независимо от их форм собственности с участием представителей Министерства энергетики Московской области и государственного казенного учреждения Московской области «Московская областная специализированная аварийно-восстановительная служба»;</w:t>
      </w:r>
    </w:p>
    <w:p w14:paraId="65832F5D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6) обеспечить проведение начиная с даты завершения отопительного периода 2021/2022 годов и до 1 сентября 2022 года гидравлических испытаний тепловых сетей независимо от их форм собственности;</w:t>
      </w:r>
    </w:p>
    <w:p w14:paraId="74BCEEC1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7) в срок до 1 сентября 2022 года обеспечить контроль за формированием аварийных запасов материально-технических, ресурсов в эксплуатирующих организациях, находящихся на территории муниципальных образований Московской области, для оперативного выполнения ремонтно-восстановительных работ в осенне-зимний период 2022/2023 годов. Информацию о выполнении данных мероприятий представить в Министерство энергетики Московской области;</w:t>
      </w:r>
    </w:p>
    <w:p w14:paraId="0F205881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8) в срок до 15 сентября 2022 года проверить готовность жилищного фонда, объектов соцсферы и других потребителей тепловой энергии с выдачей паспортов готовности в соответствии с правилами оценки готовности к отопительному периоду 2022/2023 годов;</w:t>
      </w:r>
    </w:p>
    <w:p w14:paraId="66F0000A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9) в срок до 15 сентября 2022 года обеспечить готовность объектов ТЭК, ЖКХ и соцсферы, а также создание нормативных запасов жидкого (в том числе резервного) и твердого топлива для котельных к осенне-зимнему периоду 2022/2023 годов и представить данную информацию в Министерство энергетики Московской области;</w:t>
      </w:r>
    </w:p>
    <w:p w14:paraId="203E5BCC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10) обеспечить проведение начиная с 15 сентября 2022 года и до начала отопительного периода 2022/2023 годов пробных топок, в том числе на резервных видах топлива;</w:t>
      </w:r>
    </w:p>
    <w:p w14:paraId="1354649F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11) в срок до 20 сентября 2022 года обеспечить проведение практических занятий и противоаварийных тренировок в теплоснабжающих организациях, во взаимодействии с другими ресурсоснабжающими организациями, в целях отработки действий, необходимых для возобновления передачи тепловой энергии от источников тепловой энергии в возможных случаях полного </w:t>
      </w: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lastRenderedPageBreak/>
        <w:t>прекращения подачи тепловой энергии потребителям, и представить результаты в Министерство энергетики Московской области;</w:t>
      </w:r>
    </w:p>
    <w:p w14:paraId="27A4F47D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12) обеспечить объекты коммунальной инфраструктуры бесперебойным электроснабжением от двух независимых взаимно резервирующих источников электропитания с использованием устройств автоматического переключения или автономных источников электроснабжения аварийного резерва. Предусмотреть возможность оперативного подключения автономных теплоисточников к системам </w:t>
      </w:r>
      <w:r w:rsidRPr="009B7B9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bidi="ar-SA"/>
        </w:rPr>
        <w:t>теплоснабжения;</w:t>
      </w:r>
    </w:p>
    <w:p w14:paraId="7E44393F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13) обеспечить выполнение мероприятий по модернизации систем теплоснабжения и ликвидации задолженностей за потребленные топливно-энергетические ресурсы в целях сокращения сроков запуска тепла на объекты ЖКХ и соцсферы до 7 суток с началом отопительного периода 2022/2023 годов;</w:t>
      </w:r>
    </w:p>
    <w:p w14:paraId="1A551DED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14) в срок до 1 ноября 2022 года проверить готовность теплоснабжающих, теплосетевых организаций к осенне-зимнему периоду 2022/2023 годов в соответствии с правилами оценки готовности к отопительному периоду;</w:t>
      </w:r>
    </w:p>
    <w:p w14:paraId="4E69C046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15) в период с 1 июня по 1 ноября 2022 года ежемесячно представлять в Министерство энергетики Московской области обобщенные статистические данные по муниципальному образованию Московской области по форме федерального государственного статистического наблюдения № 1-ЖКХ (зима) срочная «Сведения о подготовке жилищно-коммунального хозяйства к работе в зимних условиях», утвержденной постановлением Федеральной службы государственной статистики от 27.02.2006 № 7 «Об утверждении статистического инструментария для организации Госстроем статистического наблюдения за подготовкой жилищно-коммунального хозяйства к работе в зимних условиях»;</w:t>
      </w:r>
    </w:p>
    <w:p w14:paraId="4A021997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16) обеспечить взаимодействие с Центральным управлением Федеральиой службы по экологическому, технологическому и атомному надзору в целях проведения проверок готовности муниципальных образований Московской области к отопительному периоду 2022/2023 годов и получения паспортов готовности.</w:t>
      </w:r>
    </w:p>
    <w:p w14:paraId="4D9C9FBB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7. Рекомендовать руководителям организаций топливно-энергетического комплекса Московской области в срок до 15 сентября 2022 года:</w:t>
      </w:r>
    </w:p>
    <w:p w14:paraId="0CA895AA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1) выполнить организационно-технические мероприятия по подготовке эксплуатируемых объектов к осенне-зимнему периоду 2022/2023 годов;</w:t>
      </w:r>
    </w:p>
    <w:p w14:paraId="3A824E3C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2) укомплектовать эксплуатируемые объекты персоналом, техникой, запасом оборудования и материалов для оперативного выполнения аварийно-восстановительных работ, провести противоаварийные тренировки;</w:t>
      </w:r>
    </w:p>
    <w:p w14:paraId="34002578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3) обеспечить оснащение в аварийных ситуациях резервными автономными источниками электроснабжения объектов жизнеобеспечения населения;</w:t>
      </w:r>
    </w:p>
    <w:p w14:paraId="04AA45FD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4) создать нормативные запасы топлива;</w:t>
      </w:r>
    </w:p>
    <w:p w14:paraId="134BA2C6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5) обеспечить получение паспортов готовности организаций к отопительному периоду 2022/2023 годов.</w:t>
      </w:r>
    </w:p>
    <w:p w14:paraId="57B051AE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bidi="ar-SA"/>
        </w:rPr>
        <w:t xml:space="preserve">8, Рекомендовать публичному акционерному обществу «Россети Московский регион» и филиалу публичного акционерного общества «Федеральная сетевая </w:t>
      </w:r>
      <w:r w:rsidRPr="009B7B9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bidi="ar-SA"/>
        </w:rPr>
        <w:lastRenderedPageBreak/>
        <w:t>компания Единой энергетической системы» Московское предприятие магистральных электрических сетей до 15 августа 2022 года представить на согласование в Министерство энергетики Московской области графики аварийного ограничения режима потребления электрической энергии (мощности) на осенне-зимний период 2022/2023 годов.</w:t>
      </w:r>
    </w:p>
    <w:p w14:paraId="223A728E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9. Рекомендовать акционерному обществу «Мособлгаз» и обществу с ограниченной ответственностью «Газпром Межрегионгаз Москва» разработать и направить до 1 июля 2022 года в Министерство энергетики Московской области графики перевода потребителей газа в Московской области на резервные виды топлива в осенне-зимний период 2022/2023 годов.</w:t>
      </w:r>
    </w:p>
    <w:p w14:paraId="37496C1B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10. Главному управлению по информационной политике Московской области обеспечить официальное опубликование настоящего распоряжения путем размещения (опубликования) на Интернет-портале Правительства Московской области.</w:t>
      </w:r>
    </w:p>
    <w:p w14:paraId="16C51C55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11. Контроль за выполнением настоящего распоряжения возложить на Вице-губернатора Московской области Хромушина Е.А.</w:t>
      </w:r>
    </w:p>
    <w:p w14:paraId="22DC9829" w14:textId="77777777" w:rsidR="009B7B91" w:rsidRPr="009B7B91" w:rsidRDefault="009B7B91" w:rsidP="009B7B91">
      <w:pPr>
        <w:widowControl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 </w:t>
      </w:r>
    </w:p>
    <w:p w14:paraId="03C627FA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Первый Вмце-губернатор</w:t>
      </w:r>
    </w:p>
    <w:p w14:paraId="63F85572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Московской области - Председатель</w:t>
      </w:r>
    </w:p>
    <w:p w14:paraId="48F2D606" w14:textId="77777777" w:rsidR="009B7B91" w:rsidRPr="009B7B91" w:rsidRDefault="009B7B91" w:rsidP="009B7B91">
      <w:pPr>
        <w:widowControl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Правительства Московской области </w:t>
      </w:r>
    </w:p>
    <w:p w14:paraId="27097554" w14:textId="77777777" w:rsidR="009B7B91" w:rsidRPr="009B7B91" w:rsidRDefault="009B7B91" w:rsidP="009B7B91">
      <w:pPr>
        <w:widowControl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9B7B91">
        <w:rPr>
          <w:rFonts w:ascii="Times New Roman" w:eastAsia="Times New Roman" w:hAnsi="Times New Roman" w:cs="Times New Roman"/>
          <w:sz w:val="28"/>
          <w:szCs w:val="28"/>
          <w:lang w:bidi="ar-SA"/>
        </w:rPr>
        <w:t>И.Н. Габдрахманов</w:t>
      </w:r>
    </w:p>
    <w:p w14:paraId="365189AD" w14:textId="77777777" w:rsidR="009B7B91" w:rsidRPr="009B7B91" w:rsidRDefault="009B7B91" w:rsidP="009B7B91">
      <w:pPr>
        <w:rPr>
          <w:rFonts w:ascii="Times New Roman" w:hAnsi="Times New Roman" w:cs="Times New Roman"/>
          <w:sz w:val="28"/>
          <w:szCs w:val="28"/>
        </w:rPr>
      </w:pPr>
    </w:p>
    <w:sectPr w:rsidR="009B7B91" w:rsidRPr="009B7B91">
      <w:headerReference w:type="even" r:id="rId7"/>
      <w:headerReference w:type="default" r:id="rId8"/>
      <w:type w:val="continuous"/>
      <w:pgSz w:w="11909" w:h="16838"/>
      <w:pgMar w:top="1333" w:right="1039" w:bottom="1333" w:left="103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52A0D2" w14:textId="77777777" w:rsidR="00BB0DA9" w:rsidRDefault="00BB0DA9">
      <w:r>
        <w:separator/>
      </w:r>
    </w:p>
  </w:endnote>
  <w:endnote w:type="continuationSeparator" w:id="0">
    <w:p w14:paraId="04355D42" w14:textId="77777777" w:rsidR="00BB0DA9" w:rsidRDefault="00BB0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B34DF" w14:textId="77777777" w:rsidR="00BB0DA9" w:rsidRDefault="00BB0DA9"/>
  </w:footnote>
  <w:footnote w:type="continuationSeparator" w:id="0">
    <w:p w14:paraId="772C539B" w14:textId="77777777" w:rsidR="00BB0DA9" w:rsidRDefault="00BB0DA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811B4" w14:textId="674D4B6B" w:rsidR="004F5650" w:rsidRDefault="009B7B91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7" behindDoc="1" locked="0" layoutInCell="1" allowOverlap="1" wp14:anchorId="42083748" wp14:editId="788A28D4">
              <wp:simplePos x="0" y="0"/>
              <wp:positionH relativeFrom="page">
                <wp:posOffset>3782695</wp:posOffset>
              </wp:positionH>
              <wp:positionV relativeFrom="page">
                <wp:posOffset>862330</wp:posOffset>
              </wp:positionV>
              <wp:extent cx="64135" cy="146050"/>
              <wp:effectExtent l="1270" t="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13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D53391" w14:textId="77777777" w:rsidR="004F5650" w:rsidRDefault="00BB0DA9">
                          <w:pPr>
                            <w:pStyle w:val="a6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a7"/>
                            </w:rPr>
                            <w:t>#</w:t>
                          </w:r>
                          <w:r>
                            <w:rPr>
                              <w:rStyle w:val="a7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08374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97.85pt;margin-top:67.9pt;width:5.05pt;height:11.5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" filled="f" stroked="f">
              <v:textbox style="mso-fit-shape-to-text:t" inset="0,0,0,0">
                <w:txbxContent>
                  <w:p w14:paraId="5DD53391" w14:textId="77777777" w:rsidR="004F5650" w:rsidRDefault="00BB0DA9">
                    <w:pPr>
                      <w:pStyle w:val="a6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a7"/>
                      </w:rPr>
                      <w:t>#</w:t>
                    </w:r>
                    <w:r>
                      <w:rPr>
                        <w:rStyle w:val="a7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8A812" w14:textId="01C4DB4A" w:rsidR="004F5650" w:rsidRDefault="009B7B91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8" behindDoc="1" locked="0" layoutInCell="1" allowOverlap="1" wp14:anchorId="503DADFC" wp14:editId="4389350C">
              <wp:simplePos x="0" y="0"/>
              <wp:positionH relativeFrom="page">
                <wp:posOffset>3782695</wp:posOffset>
              </wp:positionH>
              <wp:positionV relativeFrom="page">
                <wp:posOffset>862330</wp:posOffset>
              </wp:positionV>
              <wp:extent cx="64135" cy="146050"/>
              <wp:effectExtent l="1270" t="0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13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43F6A6" w14:textId="77777777" w:rsidR="004F5650" w:rsidRDefault="00BB0DA9">
                          <w:pPr>
                            <w:pStyle w:val="a6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a7"/>
                            </w:rPr>
                            <w:t>#</w:t>
                          </w:r>
                          <w:r>
                            <w:rPr>
                              <w:rStyle w:val="a7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3DADF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297.85pt;margin-top:67.9pt;width:5.05pt;height:11.5pt;z-index:-18874406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" filled="f" stroked="f">
              <v:textbox style="mso-fit-shape-to-text:t" inset="0,0,0,0">
                <w:txbxContent>
                  <w:p w14:paraId="3A43F6A6" w14:textId="77777777" w:rsidR="004F5650" w:rsidRDefault="00BB0DA9">
                    <w:pPr>
                      <w:pStyle w:val="a6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a7"/>
                      </w:rPr>
                      <w:t>#</w:t>
                    </w:r>
                    <w:r>
                      <w:rPr>
                        <w:rStyle w:val="a7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979E8"/>
    <w:multiLevelType w:val="multilevel"/>
    <w:tmpl w:val="290654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F250C43"/>
    <w:multiLevelType w:val="multilevel"/>
    <w:tmpl w:val="4700309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4EF1F70"/>
    <w:multiLevelType w:val="multilevel"/>
    <w:tmpl w:val="7682C5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78946A7"/>
    <w:multiLevelType w:val="multilevel"/>
    <w:tmpl w:val="6BA87762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EE47594"/>
    <w:multiLevelType w:val="multilevel"/>
    <w:tmpl w:val="02CA647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1602237"/>
    <w:multiLevelType w:val="multilevel"/>
    <w:tmpl w:val="A7A29CF2"/>
    <w:lvl w:ilvl="0">
      <w:start w:val="8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2C432D3"/>
    <w:multiLevelType w:val="multilevel"/>
    <w:tmpl w:val="E6D2A7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5643F2D"/>
    <w:multiLevelType w:val="multilevel"/>
    <w:tmpl w:val="A0CE9E9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650"/>
    <w:rsid w:val="004F5650"/>
    <w:rsid w:val="009B7B91"/>
    <w:rsid w:val="00BB0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F0B235"/>
  <w15:docId w15:val="{7992AC2F-2EBC-4B6C-81DC-68D6012DC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30"/>
      <w:szCs w:val="30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44"/>
      <w:szCs w:val="44"/>
      <w:u w:val="none"/>
    </w:rPr>
  </w:style>
  <w:style w:type="character" w:customStyle="1" w:styleId="3">
    <w:name w:val="Основной текст (3)_"/>
    <w:basedOn w:val="a0"/>
    <w:link w:val="30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10"/>
      <w:sz w:val="22"/>
      <w:szCs w:val="22"/>
      <w:u w:val="none"/>
    </w:rPr>
  </w:style>
  <w:style w:type="character" w:customStyle="1" w:styleId="31">
    <w:name w:val="Основной текст (3)"/>
    <w:basedOn w:val="3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32">
    <w:name w:val="Заголовок №3_"/>
    <w:basedOn w:val="a0"/>
    <w:link w:val="3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6"/>
      <w:szCs w:val="26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Заголовок №2_"/>
    <w:basedOn w:val="a0"/>
    <w:link w:val="22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30"/>
      <w:sz w:val="23"/>
      <w:szCs w:val="23"/>
      <w:u w:val="none"/>
    </w:rPr>
  </w:style>
  <w:style w:type="character" w:customStyle="1" w:styleId="2ArialNarrow14pt0pt">
    <w:name w:val="Заголовок №2 + Arial Narrow;14 pt;Интервал 0 pt"/>
    <w:basedOn w:val="21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7">
    <w:name w:val="Колонтитул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3pt0pt">
    <w:name w:val="Основной текст + 13 pt;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2"/>
      <w:szCs w:val="22"/>
      <w:u w:val="none"/>
    </w:rPr>
  </w:style>
  <w:style w:type="character" w:customStyle="1" w:styleId="4Exact">
    <w:name w:val="Основной текст (4) Exact"/>
    <w:basedOn w:val="a0"/>
    <w:link w:val="4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pacing w:val="6"/>
      <w:sz w:val="13"/>
      <w:szCs w:val="13"/>
      <w:u w:val="none"/>
    </w:rPr>
  </w:style>
  <w:style w:type="character" w:customStyle="1" w:styleId="4Consolas85pt0ptExact">
    <w:name w:val="Основной текст (4) + Consolas;8;5 pt;Интервал 0 pt Exact"/>
    <w:basedOn w:val="4Exact"/>
    <w:rPr>
      <w:rFonts w:ascii="Consolas" w:eastAsia="Consolas" w:hAnsi="Consolas" w:cs="Consola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4pt0ptExact">
    <w:name w:val="Основной текст + 4 pt;Полужирный;Курсив;Интервал 0 pt Exact"/>
    <w:basedOn w:val="a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6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5Exact">
    <w:name w:val="Основной текст (5) Exact"/>
    <w:basedOn w:val="a0"/>
    <w:link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8"/>
      <w:szCs w:val="8"/>
      <w:u w:val="none"/>
    </w:rPr>
  </w:style>
  <w:style w:type="character" w:customStyle="1" w:styleId="50ptExact">
    <w:name w:val="Основной текст (5) + Курсив;Интервал 0 pt Exact"/>
    <w:basedOn w:val="5Exac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50ptExact0">
    <w:name w:val="Основной текст (5) + Интервал 0 pt Exact"/>
    <w:basedOn w:val="5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9"/>
      <w:w w:val="100"/>
      <w:position w:val="0"/>
      <w:sz w:val="8"/>
      <w:szCs w:val="8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360" w:line="360" w:lineRule="exact"/>
      <w:jc w:val="center"/>
    </w:pPr>
    <w:rPr>
      <w:rFonts w:ascii="Times New Roman" w:eastAsia="Times New Roman" w:hAnsi="Times New Roman" w:cs="Times New Roman"/>
      <w:b/>
      <w:bCs/>
      <w:spacing w:val="-10"/>
      <w:sz w:val="30"/>
      <w:szCs w:val="3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60" w:after="6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10"/>
      <w:sz w:val="44"/>
      <w:szCs w:val="44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0" w:after="720" w:line="0" w:lineRule="atLeast"/>
      <w:jc w:val="both"/>
    </w:pPr>
    <w:rPr>
      <w:rFonts w:ascii="Impact" w:eastAsia="Impact" w:hAnsi="Impact" w:cs="Impact"/>
      <w:spacing w:val="10"/>
      <w:sz w:val="22"/>
      <w:szCs w:val="22"/>
    </w:rPr>
  </w:style>
  <w:style w:type="paragraph" w:customStyle="1" w:styleId="33">
    <w:name w:val="Заголовок №3"/>
    <w:basedOn w:val="a"/>
    <w:link w:val="32"/>
    <w:pPr>
      <w:shd w:val="clear" w:color="auto" w:fill="FFFFFF"/>
      <w:spacing w:before="720" w:after="1200" w:line="0" w:lineRule="atLeast"/>
      <w:jc w:val="center"/>
      <w:outlineLvl w:val="2"/>
    </w:pPr>
    <w:rPr>
      <w:rFonts w:ascii="Times New Roman" w:eastAsia="Times New Roman" w:hAnsi="Times New Roman" w:cs="Times New Roman"/>
      <w:b/>
      <w:bCs/>
      <w:spacing w:val="-10"/>
      <w:sz w:val="26"/>
      <w:szCs w:val="26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1200" w:after="720" w:line="341" w:lineRule="exact"/>
    </w:pPr>
    <w:rPr>
      <w:rFonts w:ascii="Times New Roman" w:eastAsia="Times New Roman" w:hAnsi="Times New Roman" w:cs="Times New Roman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480" w:line="0" w:lineRule="atLeast"/>
      <w:jc w:val="right"/>
      <w:outlineLvl w:val="1"/>
    </w:pPr>
    <w:rPr>
      <w:rFonts w:ascii="Impact" w:eastAsia="Impact" w:hAnsi="Impact" w:cs="Impact"/>
      <w:spacing w:val="30"/>
      <w:sz w:val="23"/>
      <w:szCs w:val="23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line="0" w:lineRule="atLeast"/>
      <w:jc w:val="center"/>
    </w:pPr>
    <w:rPr>
      <w:rFonts w:ascii="Constantia" w:eastAsia="Constantia" w:hAnsi="Constantia" w:cs="Constantia"/>
      <w:spacing w:val="6"/>
      <w:sz w:val="13"/>
      <w:szCs w:val="13"/>
    </w:rPr>
  </w:style>
  <w:style w:type="paragraph" w:customStyle="1" w:styleId="5">
    <w:name w:val="Основной текст (5)"/>
    <w:basedOn w:val="a"/>
    <w:link w:val="5Exact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pacing w:val="6"/>
      <w:sz w:val="8"/>
      <w:szCs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807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627823">
          <w:blockQuote w:val="1"/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45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661305">
          <w:blockQuote w:val="1"/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757210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74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7205753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0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858532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71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125301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34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0892020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82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795679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58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4749605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113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7153271">
          <w:blockQuote w:val="1"/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7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09969">
          <w:blockQuote w:val="1"/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30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91880">
          <w:blockQuote w:val="1"/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3184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68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5562427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27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1703583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988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90773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65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0294475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88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2346668">
          <w:blockQuote w:val="1"/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1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214550">
          <w:blockQuote w:val="1"/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837694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9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9282431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99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7012570">
          <w:blockQuote w:val="1"/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69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94159">
          <w:blockQuote w:val="1"/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0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542948">
          <w:blockQuote w:val="1"/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97348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15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4612688">
          <w:blockQuote w:val="1"/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5474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563861">
                  <w:blockQuote w:val="1"/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8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159750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577117">
                  <w:blockQuote w:val="1"/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919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6120174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5801">
                  <w:blockQuote w:val="1"/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341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5393467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892792">
                  <w:blockQuote w:val="1"/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133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9149655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022825">
                  <w:blockQuote w:val="1"/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53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5750757">
          <w:blockQuote w:val="1"/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99579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4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680263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57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6314823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50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1032809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70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1252609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44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0950961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1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9559058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63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5040932">
          <w:blockQuote w:val="1"/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127011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614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8306817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95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383043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97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3363840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13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3947257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22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8601404">
          <w:blockQuote w:val="1"/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0743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365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4270306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96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9357784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52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7068728">
          <w:blockQuote w:val="1"/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22040">
          <w:blockQuote w:val="1"/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74006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8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471533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68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4122063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2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3920590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37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715993">
              <w:blockQuote w:val="1"/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16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753361">
          <w:blockQuote w:val="1"/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57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11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9408608">
          <w:blockQuote w:val="1"/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0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2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43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96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6</Pages>
  <Words>2157</Words>
  <Characters>12296</Characters>
  <Application>Microsoft Office Word</Application>
  <DocSecurity>0</DocSecurity>
  <Lines>102</Lines>
  <Paragraphs>28</Paragraphs>
  <ScaleCrop>false</ScaleCrop>
  <Company/>
  <LinksUpToDate>false</LinksUpToDate>
  <CharactersWithSpaces>14425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Ярмоленко</dc:creator>
  <cp:lastModifiedBy>Алексей Ярмоленко</cp:lastModifiedBy>
  <cp:revision>2</cp:revision>
  <dcterms:created xsi:type="dcterms:W3CDTF">2022-05-21T14:20:00Z</dcterms:created>
  <dcterms:modified xsi:type="dcterms:W3CDTF">2022-05-21T14:20:00Z</dcterms:modified>
</cp:coreProperties>
</file>