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both"/>
        <w:outlineLvl w:val="0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КОМИТЕТ ПО ЦЕНАМ И ТАРИФАМ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МОСКОВСКОЙ ОБЛАСТИ</w:t>
      </w:r>
    </w:p>
    <w:p>
      <w:pPr>
        <w:pStyle w:val="para2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РАСПОРЯЖЕНИЕ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от 27 августа 2021 г. № 152-Р</w:t>
      </w:r>
    </w:p>
    <w:p>
      <w:pPr>
        <w:pStyle w:val="para2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О ВНЕСЕНИИ ИЗМЕНЕНИЯ В РАСПОРЯЖЕНИЕ КОМИТЕТА ПО ЦЕНАМ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И ТАРИФАМ МОСКОВСКОЙ ОБЛАСТИ ОТ 10.12.2020 № 237-Р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"ОБ УСТАНОВЛЕНИИ ПЛАТЫ ЗА ПОДКЛЮЧЕНИЕ (ТЕХНОЛОГИЧЕСКОЕ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ПРИСОЕДИНЕНИЕ) В РАСЧЕТЕ НА ЕДИНИЦУ МОЩНОСТИ ПОДКЛЮЧАЕМОЙ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ТЕПЛОВОЙ НАГРУЗКИ К СИСТЕМАМ ТЕПЛОСНАБЖЕНИЯ ТЕПЛОСНАБЖАЮЩИХ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И ТЕПЛОСЕТЕВЫХ ОРГАНИЗАЦИЙ НА ТЕРРИТОРИИ МОСКОВСКОЙ ОБЛАСТИ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ПРИ НАЛИЧИИ ТЕХНИЧЕСКОЙ ВОЗМОЖНОСТИ ПОДКЛЮЧЕНИЯ НА 2021 ГОД"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В соответствии с Федеральным законом от 27.07.2010 N 190-ФЗ "О теплоснабжении", постановлением Правительства Российской Федерации от 22.10.2012 N 1075 "О ценообразовании в сфере теплоснабжения", приказом Федеральной службы по тарифам от 13.06.2013 N 760-э "Об утверждении Методических указаний по расчету регулируемых цен (тарифов) в сфере теплоснабжения", Регламентом открытия дел об установлении регулируемых цен (тарифов) и отмене регулирования тарифов в сфере теплоснабжения, утвержденным приказом Федеральной службы по тарифам от 07.06.2013 N 163, Положением о Комитете по ценам и тарифам Московской области, утвержденным постановлением Правительства Московской области от 01.11.2011 N 1321/46 "О формировании Комитета по ценам и тарифам Московской области", и на основании решения Правления Комитета по ценам и тарифам Московской области (протокол заседания Правления от 20.08.2021 N 34):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1) строку 76 приложения к распоряжению изложить в следующей редакции:</w:t>
      </w:r>
    </w:p>
    <w:p>
      <w:pPr>
        <w:pStyle w:val="para0"/>
        <w:spacing w:before="240"/>
        <w:jc w:val="both"/>
        <w:rPr>
          <w:color w:val="000000"/>
        </w:rPr>
      </w:pPr>
      <w:r>
        <w:rPr>
          <w:color w:val="000000"/>
        </w:rPr>
        <w:t>"</w:t>
      </w:r>
    </w:p>
    <w:p>
      <w:pPr>
        <w:pStyle w:val="para0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68" w:type="dxa"/>
      </w:tblPr>
      <w:tblGrid>
        <w:gridCol w:w="677"/>
        <w:gridCol w:w="3912"/>
        <w:gridCol w:w="1474"/>
        <w:gridCol w:w="1474"/>
        <w:gridCol w:w="1531"/>
      </w:tblGrid>
      <w:tr>
        <w:trPr>
          <w:tblHeader w:val="0"/>
          <w:cantSplit w:val="0"/>
          <w:trHeight w:val="0" w:hRule="auto"/>
        </w:trPr>
        <w:tc>
          <w:tcPr>
            <w:tcW w:w="67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8391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АО "Люберецкая теплосеть" (ИНН 5027130221) на территории городского округа Люберцы Московской области на 2021 г.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391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Плата за подключение (технологическое присоединение) в расчете на единицу мощности подключаемой тепловой нагрузки при наличии технической возможности подключения, в том числе: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Расходы на проведение мероприятий по подключению объектов заявителей (П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</w:rPr>
              <w:t>), тыс. руб./Гкал/ч</w:t>
            </w:r>
          </w:p>
        </w:tc>
        <w:tc>
          <w:tcPr>
            <w:tcW w:w="447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34,40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Расходы на проведение мероприятий по подключению объектов заявителей с учетом расходов смежной организации (П</w:t>
            </w:r>
            <w:r>
              <w:rPr>
                <w:color w:val="000000"/>
                <w:vertAlign w:val="subscript"/>
              </w:rPr>
              <w:t>1(см)</w:t>
            </w:r>
            <w:r>
              <w:rPr>
                <w:color w:val="000000"/>
              </w:rPr>
              <w:t>), тыс. руб./Гкал/ч</w:t>
            </w:r>
          </w:p>
        </w:tc>
        <w:tc>
          <w:tcPr>
            <w:tcW w:w="447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68,92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391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Расходы на создание двухтрубных тепловых сетей и объектов на них (за исключением создания (реконструкции) тепловых пунктов) от существующих тепловых сетей или источников тепловой энергии до точек подключения объектов заявителей при наличии технической возможности подключения (П</w:t>
            </w:r>
            <w:r>
              <w:rPr>
                <w:color w:val="000000"/>
                <w:vertAlign w:val="subscript"/>
              </w:rPr>
              <w:t>2.1</w:t>
            </w:r>
            <w:r>
              <w:rPr>
                <w:color w:val="000000"/>
              </w:rPr>
              <w:t>), (тыс. руб./м)/Гкал/ч: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Подземная прокладка, в том числе:</w:t>
            </w:r>
          </w:p>
        </w:tc>
        <w:tc>
          <w:tcPr>
            <w:tcW w:w="4479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Категория протяженности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до 50 м включительно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от 50 м до 200 м включительно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более 200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391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Канальная прокладка (П</w:t>
            </w:r>
            <w:r>
              <w:rPr>
                <w:color w:val="000000"/>
                <w:vertAlign w:val="subscript"/>
              </w:rPr>
              <w:t>2.1</w:t>
            </w:r>
            <w:r>
              <w:rPr>
                <w:color w:val="000000"/>
                <w:vertAlign w:val="superscript"/>
              </w:rPr>
              <w:t>к</w:t>
            </w:r>
            <w:r>
              <w:rPr>
                <w:color w:val="000000"/>
              </w:rPr>
              <w:t>) диаметром: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260,13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238,31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227,40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65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157,92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144,63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137,98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92,61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85,23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81,54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72,43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64,55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60,61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125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37,62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33,55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31,51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25,61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22,81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21,42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200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16,39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14,17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13,06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10,53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9,20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8,54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8391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Бесканальная прокладка (П</w:t>
            </w:r>
            <w:r>
              <w:rPr>
                <w:color w:val="000000"/>
                <w:vertAlign w:val="subscript"/>
              </w:rPr>
              <w:t>2.1</w:t>
            </w:r>
            <w:r>
              <w:rPr>
                <w:color w:val="000000"/>
                <w:vertAlign w:val="superscript"/>
              </w:rPr>
              <w:t>б/к</w:t>
            </w:r>
            <w:r>
              <w:rPr>
                <w:color w:val="000000"/>
              </w:rPr>
              <w:t>) диаметром: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97,88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76,06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65,15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65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61,46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48,17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41,52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35,94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28,56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24,86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32,42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24,54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20,61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125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18,11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14,04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12,00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150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13,06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10,27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8,87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200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9,47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7,25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6,14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7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250 мм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6,69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5,36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6438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4,70</w:t>
            </w:r>
          </w:p>
        </w:tc>
      </w:tr>
    </w:tbl>
    <w:p>
      <w:pPr>
        <w:pStyle w:val="para0"/>
        <w:spacing w:before="240"/>
        <w:jc w:val="right"/>
        <w:rPr>
          <w:color w:val="000000"/>
        </w:rPr>
      </w:pPr>
      <w:r>
        <w:rPr>
          <w:color w:val="000000"/>
        </w:rPr>
        <w:t>".</w:t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2. Настоящее распоряжение подлежит официальному опубликованию в газете "Ежедневные новости. Подмосковье" и размещению (опубликованию) на сайте Комитета по ценам и тарифам Московской области на интернет-портале Правительства Московской области.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3. Настоящее распоряжение вступает в силу через десять дней после дня его первого официального опубликования.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4. Контроль за выполнением настоящего распоряжения возложить на первого заместителя председателя Комитета по ценам и тарифам Московской области Дозорову А.А.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И.о. председателя Комитета по ценам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тарифам Московской области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А.А. Дозорова</w:t>
      </w:r>
    </w:p>
    <w:p>
      <w:pPr>
        <w:pStyle w:val="para0"/>
        <w:spacing/>
        <w:jc w:val="center"/>
        <w:rPr>
          <w:color w:val="000000"/>
        </w:rPr>
      </w:pPr>
      <w:r>
        <w:rPr>
          <w:color w:val="000000"/>
        </w:rPr>
        <w:t>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1133" w:top="454" w:right="566" w:bottom="793" w:header="0" w:footer="0"/>
      <w:paperSrc w:first="0" w:other="0" a="0" b="0"/>
      <w:pgNumType w:fmt="decimal"/>
      <w:titlePg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5"/>
      <w:tmLastPosIdx w:val="235"/>
    </w:tmLastPosCaret>
    <w:tmLastPosAnchor>
      <w:tmLastPosPgfIdx w:val="0"/>
      <w:tmLastPosIdx w:val="0"/>
    </w:tmLastPosAnchor>
    <w:tmLastPosTblRect w:left="0" w:top="0" w:right="0" w:bottom="0"/>
  </w:tmLastPos>
  <w:tmAppRevision w:date="1631116438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Header"/>
    <w:qFormat/>
    <w:basedOn w:val="para8"/>
    <w:pPr>
      <w:tabs defTabSz="708">
        <w:tab w:val="center" w:pos="5103" w:leader="none"/>
        <w:tab w:val="right" w:pos="10207" w:leader="none"/>
      </w:tabs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Header"/>
    <w:qFormat/>
    <w:basedOn w:val="para8"/>
    <w:pPr>
      <w:tabs defTabSz="708">
        <w:tab w:val="center" w:pos="5103" w:leader="none"/>
        <w:tab w:val="right" w:pos="10207" w:leader="none"/>
      </w:tabs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Мособлкомцен от 27.08.2021 N 152-Р"О внесении изменения в распоряжение Комитета по ценам и тарифам Московской области от 10.12.2020 N 237-Р "Об установлении платы за подключение (технологическое присоединение) в расчете на единицу мощности подключаемой тепловой нагрузки к системам теплоснабжения теплоснабжающих и теплосетевых организаций на территории Московской области при наличии технической возможности подключения на 2021 год"</dc:title>
  <dc:subject/>
  <dc:creator/>
  <cp:keywords/>
  <dc:description/>
  <cp:lastModifiedBy/>
  <cp:revision>1</cp:revision>
  <dcterms:created xsi:type="dcterms:W3CDTF">2021-09-08T15:47:17Z</dcterms:created>
  <dcterms:modified xsi:type="dcterms:W3CDTF">2021-09-08T15:53:58Z</dcterms:modified>
</cp:coreProperties>
</file>