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4"/>
        <w:spacing/>
        <w:jc w:val="right"/>
        <w:outlineLvl w:val="2"/>
        <w:rPr>
          <w:color w:val="000000"/>
        </w:rPr>
      </w:pPr>
      <w:r>
        <w:rPr>
          <w:color w:val="000000"/>
        </w:rPr>
        <w:t>Таблица 4</w:t>
      </w:r>
    </w:p>
    <w:tbl>
      <w:tblPr>
        <w:name w:val="Таблица1"/>
        <w:tabOrder w:val="0"/>
        <w:jc w:val="left"/>
        <w:tblInd w:w="0" w:type="dxa"/>
        <w:tblW w:w="10257" w:type="dxa"/>
      </w:tblPr>
      <w:tblGrid>
        <w:gridCol w:w="547"/>
        <w:gridCol w:w="1829"/>
        <w:gridCol w:w="3134"/>
        <w:gridCol w:w="2227"/>
        <w:gridCol w:w="2520"/>
      </w:tblGrid>
      <w:tr>
        <w:trPr>
          <w:tblHeader w:val="0"/>
          <w:cantSplit w:val="0"/>
          <w:trHeight w:val="0" w:hRule="auto"/>
        </w:trPr>
        <w:tc>
          <w:tcPr>
            <w:tcW w:w="5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N п/п</w:t>
            </w:r>
          </w:p>
        </w:tc>
        <w:tc>
          <w:tcPr>
            <w:tcW w:w="182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Наименования объектов и элементов благоустройства</w:t>
            </w:r>
          </w:p>
        </w:tc>
        <w:tc>
          <w:tcPr>
            <w:tcW w:w="313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Показатели обеспеченности на 1 жителя (всего) и размеры объектов благоустройства (всего)</w:t>
            </w:r>
          </w:p>
        </w:tc>
        <w:tc>
          <w:tcPr>
            <w:tcW w:w="4747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Местоположение элементов и объектов благоустройства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2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13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В соответствии с пунктом 8.2.1 стандартов качества</w:t>
            </w:r>
          </w:p>
        </w:tc>
        <w:tc>
          <w:tcPr>
            <w:tcW w:w="25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 территории жилого района &lt;1&gt;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2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2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5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2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Детские игровые площадки</w:t>
            </w:r>
          </w:p>
        </w:tc>
        <w:tc>
          <w:tcPr>
            <w:tcW w:w="313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не менее 0,5-0,7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/чел.</w:t>
            </w:r>
          </w:p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Оптимальный размер площадок:</w:t>
            </w:r>
          </w:p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для детей до 3 лет - 50-70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; до 7 лет - 70-150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; школьного возраста - 100-300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;</w:t>
            </w:r>
          </w:p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комплексных игровых площадок - 900-1600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  <w:tc>
          <w:tcPr>
            <w:tcW w:w="4747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не менее 0,5-0,7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/чел. (всего), из них: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2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13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не менее 0,4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/чел.</w:t>
            </w:r>
          </w:p>
        </w:tc>
        <w:tc>
          <w:tcPr>
            <w:tcW w:w="25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допускается</w:t>
            </w:r>
          </w:p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0,1-0,3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/чел. с соблюдением пешеходной доступности от входных групп дома до площадок не более 100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2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Возможно объединение площадок дошкольного возраста с площадками отдыха взрослых (размер площадки - не менее 150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); площадок для детей с площадками для тихого отдыха взрослых (размер площадки - не менее 80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)</w:t>
            </w:r>
          </w:p>
        </w:tc>
        <w:tc>
          <w:tcPr>
            <w:tcW w:w="22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5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2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Спортивные площадки (спортивно-игровые комплексы)</w:t>
            </w:r>
          </w:p>
        </w:tc>
        <w:tc>
          <w:tcPr>
            <w:tcW w:w="3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для детей дошкольного возраста (на 75 детей) - не менее 150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; школьного возраста (100 детей) - не менее 250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  <w:tc>
          <w:tcPr>
            <w:tcW w:w="4747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не менее 0,5-0,7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/чел.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82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Площадки отдыха взрослого населения</w:t>
            </w:r>
          </w:p>
        </w:tc>
        <w:tc>
          <w:tcPr>
            <w:tcW w:w="313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не менее 0,1-0,2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/чел.</w:t>
            </w:r>
          </w:p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Оптимальный размер площадки 50-100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/чел.;</w:t>
            </w:r>
          </w:p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минимальный размер площадки отдыха - не менее 15-20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/чел.</w:t>
            </w:r>
          </w:p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Допускается совмещение площадок тихого отдыха с детскими площадками</w:t>
            </w:r>
          </w:p>
        </w:tc>
        <w:tc>
          <w:tcPr>
            <w:tcW w:w="4747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не менее 0,1-0,2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/чел. (всего), из них: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2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13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не менее 0,1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/чел.</w:t>
            </w:r>
          </w:p>
        </w:tc>
        <w:tc>
          <w:tcPr>
            <w:tcW w:w="25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допускается</w:t>
            </w:r>
          </w:p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0,1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/чел. с соблюдением пешеходной доступности от входных групп дома до площадок не более 100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82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Площадки для выгула собак &lt;2&gt;</w:t>
            </w:r>
          </w:p>
        </w:tc>
        <w:tc>
          <w:tcPr>
            <w:tcW w:w="3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400-600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  <w:tc>
          <w:tcPr>
            <w:tcW w:w="4747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400-600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82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Контейнерная площадка</w:t>
            </w:r>
          </w:p>
        </w:tc>
        <w:tc>
          <w:tcPr>
            <w:tcW w:w="3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не менее 0,03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/чел.</w:t>
            </w:r>
          </w:p>
        </w:tc>
        <w:tc>
          <w:tcPr>
            <w:tcW w:w="4747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не менее 0,03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/чел.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82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Площадка автостоянки (парковки)</w:t>
            </w:r>
          </w:p>
        </w:tc>
        <w:tc>
          <w:tcPr>
            <w:tcW w:w="3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22,5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/чел./автомобиль (в уширениях проезжих частей улиц и проездов - 18,0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)</w:t>
            </w:r>
          </w:p>
        </w:tc>
        <w:tc>
          <w:tcPr>
            <w:tcW w:w="4747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В соответствии с постановлением Правительства Московской области от 17.08.2015 N 713/30 "Об утверждении нормативов градостроительного проектирования Московской области"</w:t>
            </w:r>
          </w:p>
        </w:tc>
      </w:tr>
    </w:tbl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&lt;1&gt; При недостатке площади для размещения в полном объеме площадок рекреационного назначения на территории, указанной в пункте 8.2.1 стандартов качества, допускается их размещение на территории общего пользования жилого района.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&lt;2&gt; Предусматривается в случае, если предметом развития территории является создание нового планировочного района.</w:t>
      </w:r>
    </w:p>
    <w:p>
      <w:pPr>
        <w:pStyle w:val="para4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4"/>
        <w:ind w:firstLine="540"/>
        <w:spacing/>
        <w:jc w:val="both"/>
        <w:rPr>
          <w:color w:val="000000"/>
        </w:rPr>
      </w:pPr>
      <w:r>
        <w:rPr>
          <w:color w:val="000000"/>
        </w:rPr>
        <w:t>8.4. При благоустройстве территорий многоквартирных домов не допускается ухудшать характеристики существующих объектов благоустройства и элементов благоустройства, в том числе: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8.4.1. Объекты благоустройства и элементы благоустройства, развиваемые в связи с обеспечением связанности с существующими объектами пешеходной и транспортной инфраструктур, после завершения работ должны соответствовать требованиям правил благоустройства территории муниципальных образований Московской области, Регламенту содержания объектов благоустройства Московской области, утвержденному распоряжением Министерства благоустройства Московской области от 20.03.2020 N 10Р-15 "Об утверждении Регламента содержания объектов благоустройства Московской области и технологических карт содержания объектов благоустройства Московской области".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8.4.2. Не допускается обеспечивать показатели минимальной обеспеченности объектами и элементами благоустройства, приведенными в таблице 4 стандартов качества, вновь возводимых многоквартирных домов за счет существующих объектов благоустройства. По согласованию с органами местного самоуправления муниципального образования Московской области существующие объекты благоустройства и элементы благоустройства допускается увеличивать в размерах с одновременной их модернизацией, обеспечивающей срок службы названных объектов благоустройства по эксплуатационному документу не менее чем на 5 лет.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8.5. При проектировании площадок рекреационного назначения должно быть предусмотрено оборудование, приведенное в таблице 5 стандартов качества, а также соблюдены требования, установленные Законом Московской области N 191/2014-ОЗ "О регулировании дополнительных вопросов в сфере благоустройства в Московской области", правилами благоустройства территории муниципальных образований Московской области.</w:t>
      </w:r>
    </w:p>
    <w:p>
      <w:pPr>
        <w:pStyle w:val="para4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4"/>
        <w:spacing/>
        <w:jc w:val="right"/>
        <w:outlineLvl w:val="2"/>
        <w:rPr>
          <w:color w:val="000000"/>
        </w:rPr>
      </w:pPr>
      <w:r>
        <w:rPr>
          <w:color w:val="000000"/>
        </w:rPr>
        <w:t>Таблица 5</w:t>
      </w:r>
    </w:p>
    <w:tbl>
      <w:tblPr>
        <w:name w:val="Таблица2"/>
        <w:tabOrder w:val="0"/>
        <w:jc w:val="left"/>
        <w:tblInd w:w="0" w:type="dxa"/>
        <w:tblW w:w="6725" w:type="dxa"/>
      </w:tblPr>
      <w:tblGrid>
        <w:gridCol w:w="432"/>
        <w:gridCol w:w="6293"/>
      </w:tblGrid>
      <w:tr>
        <w:trPr>
          <w:tblHeader w:val="0"/>
          <w:cantSplit w:val="0"/>
          <w:trHeight w:val="0" w:hRule="auto"/>
        </w:trPr>
        <w:tc>
          <w:tcPr>
            <w:tcW w:w="6725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Оборудование детских игровых площадок для детей до 3 лет: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Песочница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Горка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Карусель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Качели подвесные (2 сиденья со спинкой)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Качалка на пружине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Качалка-балансир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25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Оборудование детских игровых площадок для детей 3-7 лет: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Игровой комплекс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Карусель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Качели подвесные (2 сиденья без спинки)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Лабиринт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Качалка на пружине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Качалка-балансир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Тоннель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Теневой навес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25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Оборудование детских игровых площадок для детей 7-12 лет: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Игровой комплекс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Качели подвесные (2 сиденья без спинки)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Пространственная сетка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Подвесной мост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Спортивный игровой комплекс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25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Оборудование спортивных площадок: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Гимнастический комплекс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Тренажер "Шаговый"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Тренажер "Эллиптический"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Тренажер "Двойной турник"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Тренажер "Двойные лыжи"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25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Оборудование площадок отдыха: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Стол для настольного тенниса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29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Шахматные столы (2 с 4 сиденьями без спинки)</w:t>
            </w:r>
          </w:p>
        </w:tc>
      </w:tr>
    </w:tbl>
    <w:p>
      <w:pPr>
        <w:pStyle w:val="para4"/>
        <w:ind w:firstLine="540"/>
        <w:spacing/>
        <w:jc w:val="both"/>
        <w:rPr>
          <w:color w:val="000000"/>
        </w:rPr>
      </w:pPr>
      <w:r>
        <w:rPr>
          <w:color w:val="000000"/>
        </w:rPr>
        <w:t>8.6. При благоустройстве озеленения вновь возводимых многоквартирных домов: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8.6.1. Газоны следует устраивать с использованием травосмеси на основе рыхлокустовых корневищных злаков низового типа на полностью подготовленном и спланированном основании из многокомпонентного искусственного почвогрунта заводского изготовления с соблюдением уклона основания и после обеспечения раздельного стока воды с плоскостных сооружений и внутрипочвенного стока.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8.6.2. Саженцы должны иметь симметричную крону, очищенную от сухих и поврежденных ветвей, прямой штамб, здоровую, нормально развитую корневую систему с хорошо выраженной скелетной частью; на саженцах не должно быть механических повреждений, а также признаков поражения болезнями и заселения вредителями.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8.6.3. Запрещается при благоустройстве элементов озеленения: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а) применять плодородный слой почвы, засоренный сорными и инвазивными вредными зелеными насаждениями, растениями, строительными и бытовыми отходами;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б) завозить, высаживать зеленые насаждения с признаками заселения и поражения опасными вредителями и болезнями, с повреждениями кроны и штамба механического и патологического происхождения, инвазивные вредные зеленые насаждения (в том числе борщевик Сосновского, клен Ясенелистный, лебеду, болиголов, вех ядовитый, акониты, ясенцы, ландыши, волчье лыко, клещевину, мордовник, эрингиум, карлину, молочай), тополя, а также колючие и ядовитые растения вдоль пешеходных коммуникаций, велодорожек и площадок рекреационного назначения.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8.6.4. Основные расстояния при планировании элементов озеленения должны быть выполнены с соблюдением расстояний, приведенных в таблице 6 стандартов качества.</w:t>
      </w:r>
    </w:p>
    <w:p>
      <w:pPr>
        <w:pStyle w:val="para4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4"/>
        <w:spacing/>
        <w:jc w:val="right"/>
        <w:outlineLvl w:val="2"/>
        <w:rPr>
          <w:color w:val="000000"/>
        </w:rPr>
      </w:pPr>
      <w:r>
        <w:rPr>
          <w:color w:val="000000"/>
        </w:rPr>
        <w:t>Таблица 6</w:t>
      </w:r>
    </w:p>
    <w:tbl>
      <w:tblPr>
        <w:name w:val="Таблица3"/>
        <w:tabOrder w:val="0"/>
        <w:jc w:val="left"/>
        <w:tblInd w:w="0" w:type="dxa"/>
        <w:tblW w:w="9965" w:type="dxa"/>
      </w:tblPr>
      <w:tblGrid>
        <w:gridCol w:w="542"/>
        <w:gridCol w:w="5914"/>
        <w:gridCol w:w="1666"/>
        <w:gridCol w:w="1843"/>
      </w:tblGrid>
      <w:tr>
        <w:trPr>
          <w:tblHeader w:val="0"/>
          <w:cantSplit w:val="0"/>
          <w:trHeight w:val="0" w:hRule="auto"/>
        </w:trPr>
        <w:tc>
          <w:tcPr>
            <w:tcW w:w="54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N п/п</w:t>
            </w:r>
          </w:p>
        </w:tc>
        <w:tc>
          <w:tcPr>
            <w:tcW w:w="59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Здание, сооружение, объект, площадка</w:t>
            </w:r>
          </w:p>
        </w:tc>
        <w:tc>
          <w:tcPr>
            <w:tcW w:w="3509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Минимальные расстояния (м) от здания, сооружения, объекта, площадки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59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ствола дерева</w:t>
            </w:r>
          </w:p>
        </w:tc>
        <w:tc>
          <w:tcPr>
            <w:tcW w:w="18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кустарника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9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Наружная стена многоквартирного дома, иных зданий</w:t>
            </w:r>
          </w:p>
        </w:tc>
        <w:tc>
          <w:tcPr>
            <w:tcW w:w="16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18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9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Край тротуара, пешеходной дорожки, плоскостных открытых стоянок автомобилей</w:t>
            </w:r>
          </w:p>
        </w:tc>
        <w:tc>
          <w:tcPr>
            <w:tcW w:w="16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1,7</w:t>
            </w:r>
          </w:p>
        </w:tc>
        <w:tc>
          <w:tcPr>
            <w:tcW w:w="18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9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Край проезжей части проездов</w:t>
            </w:r>
          </w:p>
        </w:tc>
        <w:tc>
          <w:tcPr>
            <w:tcW w:w="16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  <w:tc>
          <w:tcPr>
            <w:tcW w:w="18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9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Опора системы наружного освещения</w:t>
            </w:r>
          </w:p>
        </w:tc>
        <w:tc>
          <w:tcPr>
            <w:tcW w:w="16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18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9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Подошва или внутренняя грань подпорной стенки</w:t>
            </w:r>
          </w:p>
        </w:tc>
        <w:tc>
          <w:tcPr>
            <w:tcW w:w="16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4,0</w:t>
            </w:r>
          </w:p>
        </w:tc>
        <w:tc>
          <w:tcPr>
            <w:tcW w:w="18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9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Подошва откоса, террасы</w:t>
            </w:r>
          </w:p>
        </w:tc>
        <w:tc>
          <w:tcPr>
            <w:tcW w:w="16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  <w:tc>
          <w:tcPr>
            <w:tcW w:w="18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59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Детские игровые площадки, физкультурно-спортивные площадки (с восточной и северной стороны)</w:t>
            </w:r>
          </w:p>
        </w:tc>
        <w:tc>
          <w:tcPr>
            <w:tcW w:w="16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  <w:tc>
          <w:tcPr>
            <w:tcW w:w="18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9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Детские игровые площадки, физкультурно-спортивные площадки (с южной и западной стороны)</w:t>
            </w:r>
          </w:p>
        </w:tc>
        <w:tc>
          <w:tcPr>
            <w:tcW w:w="16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  <w:tc>
          <w:tcPr>
            <w:tcW w:w="18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9423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Подземные сети: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59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газопровод, канализация</w:t>
            </w:r>
          </w:p>
        </w:tc>
        <w:tc>
          <w:tcPr>
            <w:tcW w:w="16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1,5</w:t>
            </w:r>
          </w:p>
        </w:tc>
        <w:tc>
          <w:tcPr>
            <w:tcW w:w="18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9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тепловая сеть (стенка канала, тоннеля или оболочка при бесканальной прокладке)</w:t>
            </w:r>
          </w:p>
        </w:tc>
        <w:tc>
          <w:tcPr>
            <w:tcW w:w="16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  <w:tc>
          <w:tcPr>
            <w:tcW w:w="18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9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водопровод, дренаж</w:t>
            </w:r>
          </w:p>
        </w:tc>
        <w:tc>
          <w:tcPr>
            <w:tcW w:w="16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  <w:tc>
          <w:tcPr>
            <w:tcW w:w="18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59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силовой кабель и кабель связи</w:t>
            </w:r>
          </w:p>
        </w:tc>
        <w:tc>
          <w:tcPr>
            <w:tcW w:w="16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  <w:tc>
          <w:tcPr>
            <w:tcW w:w="18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0,7</w:t>
            </w:r>
          </w:p>
        </w:tc>
      </w:tr>
    </w:tbl>
    <w:p>
      <w:pPr>
        <w:pStyle w:val="para4"/>
        <w:ind w:firstLine="540"/>
        <w:spacing/>
        <w:jc w:val="both"/>
        <w:rPr>
          <w:color w:val="000000"/>
        </w:rPr>
      </w:pPr>
      <w:r>
        <w:rPr>
          <w:color w:val="000000"/>
        </w:rPr>
        <w:t>8.6.5. Элементы озеленения территории должны быть запроектированы вдоль фасадов многоквартирных домов (формирование палисадников), между отдельными площадками в виде живых изгородей, а также образовывать садовые группы, при этом должен учитываться минимальный ассортимент растений для палисадников, приведенный в таблице 7 стандартов качества, минимальный ассортимент растений для высадки между отдельными площадками в виде живых изгородей, создания садовых групп, приведенный в таблице 8 стандартов качества.</w:t>
      </w:r>
    </w:p>
    <w:p>
      <w:pPr>
        <w:pStyle w:val="para4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4"/>
        <w:spacing/>
        <w:jc w:val="right"/>
        <w:outlineLvl w:val="2"/>
        <w:rPr>
          <w:color w:val="000000"/>
        </w:rPr>
      </w:pPr>
      <w:r>
        <w:rPr>
          <w:color w:val="000000"/>
        </w:rPr>
        <w:t>Таблица 7</w:t>
      </w:r>
    </w:p>
    <w:tbl>
      <w:tblPr>
        <w:name w:val="Таблица4"/>
        <w:tabOrder w:val="0"/>
        <w:jc w:val="left"/>
        <w:tblInd w:w="0" w:type="dxa"/>
        <w:tblW w:w="9016" w:type="dxa"/>
      </w:tblPr>
      <w:tblGrid>
        <w:gridCol w:w="427"/>
        <w:gridCol w:w="3706"/>
        <w:gridCol w:w="2842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вида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Характеристики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Виды посадок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89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Кустарники хвойные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Можжевельник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 сорт, саженец, стандарт среднерослый, свыше 0,5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89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Кустарники лиственные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Барбарис Тунберга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 сорт, саженец, стандарт низкорослый, свыше 0,3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Сирень обыкновенная сортовая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 сорт, саженец, стандарт высокорослый, свыше 1,1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группы, 1 шт./м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Спирея Бумальда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 сорт, саженец, стандарт низкорослый, свыше 0,3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группы, 3 шт./м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Спирея японская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 сорт, саженец, стандарт низкорослый, свыше 0,3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группы, 3 шт./м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Спирея серая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 сорт, саженец, стандарт среднерослый, свыше 0,5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группы, 2-3 шт./м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Снежноягодник белый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 сорт, саженец, стандарт среднерослый, свыше 0,5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группы, 2-3 шт./м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Лапчатка кустарниковая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 сорт, саженец, стандарт среднерослый, свыше 0,5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группы, 3 шт./м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Чубушник венечный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 сорт, саженец, стандарт среднерослый, свыше 0,5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группы, 2 шт./м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89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Цветочные растения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Высокие и средние многолетники: флокс метельчатый, хоста, астильба, бадан, ирис, пион, вербейник, лилейник, дельфиниум, наперстянка, шалфей, монарда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рассада стандарт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цветники;</w:t>
            </w:r>
          </w:p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высокие: посадка - 2-8 шт./м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;</w:t>
            </w:r>
          </w:p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средние: посадка - 10-16 шт./м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Низкие многолетники: флокс шиловидный, маргаритка,</w:t>
            </w:r>
          </w:p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примула, арабис, барвинок,</w:t>
            </w:r>
          </w:p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пахизандра, ясколка, фиалка рогатая, седумы различных видов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рассада стандарт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низкие: посадка - 20-25 шт./м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89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Газон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Газон обыкновенный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из устойчивой травосмеси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посев газонных трав</w:t>
            </w:r>
          </w:p>
        </w:tc>
      </w:tr>
    </w:tbl>
    <w:p>
      <w:pPr>
        <w:pStyle w:val="para4"/>
        <w:spacing/>
        <w:jc w:val="right"/>
        <w:outlineLvl w:val="2"/>
        <w:rPr>
          <w:color w:val="000000"/>
        </w:rPr>
      </w:pPr>
      <w:r>
        <w:rPr>
          <w:color w:val="000000"/>
        </w:rPr>
        <w:t>Таблица 8</w:t>
      </w:r>
    </w:p>
    <w:tbl>
      <w:tblPr>
        <w:name w:val="Таблица5"/>
        <w:tabOrder w:val="0"/>
        <w:jc w:val="left"/>
        <w:tblInd w:w="0" w:type="dxa"/>
        <w:tblW w:w="9016" w:type="dxa"/>
      </w:tblPr>
      <w:tblGrid>
        <w:gridCol w:w="427"/>
        <w:gridCol w:w="3706"/>
        <w:gridCol w:w="2842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Наименование вида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Характеристики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Виды посадок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89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Деревья хвойные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Лиственница европейская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крупномер, высота - 7-9 м, диаметр - 10-12 см, размер земляного кома - 1,7 x 1,7 x 0,65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группы, рядовые посадки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89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Деревья лиственные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Клен остролистный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крупномер, высота - 7-9 м, диаметр - 10-12 см, размер земляного кома - 1,7 x 1,7 x 0,65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Каштан конский обыкновенный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крупномер, высота - 7-9 м, диаметр - 10-12 см, размер земляного кома - 1,7 x 1,7 x 0,65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группы, рядовые посадки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Липа мелколистная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крупномер, высота - 7-9 м, диаметр - 10-12 см, размер земляного кома - 1,7 x 1,7 x 0,65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группы, рядовые посадки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Яблоня декоративная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крупномер, высота - 4-5 м, диаметр - 5-6 см, размер земляного кома - 1,0 x 1,0 x 0,6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89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Кустарники лиственные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Барбарис Тунберга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 сорт, саженец, стандарт низкорослый, свыше 0,3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группы, 3 шт./м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Дерен белый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 сорт, саженец, стандарт среднерослый, свыше 0,5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группы, 2 шт./м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Сирень обыкновенная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 сорт, саженец, стандарт высокорослый, свыше 1,1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группы, 1 шт./м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Спирея (различные виды)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 сорт, саженец, стандарт среднерослый, свыше 0,5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группы, 2-3 шт./м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Снежноягодник белый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 сорт, саженец, стандарт среднерослый, свыше 0,5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группы, 2-3 шт./м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Лапчатка кустарниковая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 сорт, саженец, стандарт низкорослый, свыше 0,3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группы, 3 шт./м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Чубушник венечный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 сорт, саженец, стандарт среднерослый, свыше 0,5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группы, 2 шт./м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Кизильник блестящий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 сорт, саженец, стандарт среднерослый, свыше 0,5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живая изгородь, 5 шт./пог.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Пузыреплодник калинолистный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 сорт, саженец, стандарт среднерослый, свыше 0,5 м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живая изгородь, 5 шт./пог.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Жимолость (различные виды)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 сорт, саженец, стандарт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группы, 2 шт./м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89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Цветочные растения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Многолетние цветочные растения: флокс, ирис, лилейник, хоста, астильба, кампанула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рассада стандарт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цветники; посадка: высокие - 2-8 шт./м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, средние - 10-16 шт./м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89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Газон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7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Газон обыкновенный</w:t>
            </w:r>
          </w:p>
        </w:tc>
        <w:tc>
          <w:tcPr>
            <w:tcW w:w="28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из устойчивой травосмеси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7320610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посев газонных трав</w:t>
            </w:r>
          </w:p>
        </w:tc>
      </w:tr>
    </w:tbl>
    <w:p>
      <w:pPr>
        <w:pStyle w:val="para4"/>
        <w:ind w:firstLine="540"/>
        <w:spacing/>
        <w:jc w:val="both"/>
        <w:rPr>
          <w:color w:val="000000"/>
        </w:rPr>
      </w:pPr>
      <w:r>
        <w:rPr>
          <w:color w:val="000000"/>
        </w:rPr>
        <w:t>8.7. При благоустройстве систем наружного освещения вновь возводимого многоквартирного дома (группы домов):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8.7.1. Не допускается установка бетонных опор.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8.7.2. Высота расположения светильников, требования к средней освещенности, нормируемые показатели наружного освещения должны быть запроектированы с учетом распоряжения Министерства благоустройства Московской области от 25.12.2019 N 10Р-63 "Об утверждении методических рекомендаций "Стандарт объектов (средств) наружного освещения объектов благоустройства Московской области".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8.7.3. Вдоль основных пешеходных коммуникаций от входов на территорию многоквартирного дома (группы домов), примыкающую к жилым зданиям, планируемую к преимущественному пользованию и предназначенную для обеспечения бытовых нужд и досуга жителей дома (группы домов) до входов в подъезды многоквартирных домов в дополнение к утилитарному наружному освещению рекомендуется благоустраивать световые столбики.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8.7.4. При проектировании наружного освещения следует выбирать источники света и осветительные приборы с наибольшими световой отдачей и сроком службы при равной мощности, обеспечивающие наибольшую энергетическую эффективность и экономичность.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8.7.5. Освещение в вечерне-ночное время должно обеспечивать распознавание дорожной разметки и различных знаков, распознавание лиц прохожих.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8.7.6. Минимальные требования к металлическим опорам и кронштейнам систем наружного освещения: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материал - сталь;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вид - граненая, круглоконическая, трубчатая, складывающаяся;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способ изготовления - листовой прокат, трубный прокат;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тип - силовая, несиловая;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способ установки - фланцевая с закладным элементом или прямо стоечная;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подвод кабеля - землей;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защита от коррозии - горячее цинкование.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8.7.7. Минимальные требования к светодиодным светильникам для освещаемых объектов благоустройства территории многоквартирного дома (группы домов), примыкающей к жилым зданиям, планируемой к преимущественному пользованию и предназначенной для обеспечения бытовых нужд и досуга жителей дома (группы домов):</w:t>
      </w:r>
    </w:p>
    <w:p>
      <w:pPr>
        <w:pStyle w:val="para4"/>
        <w:ind w:left="540"/>
        <w:spacing w:before="240"/>
        <w:jc w:val="both"/>
        <w:rPr>
          <w:color w:val="000000"/>
        </w:rPr>
      </w:pPr>
      <w:r>
        <w:rPr>
          <w:color w:val="000000"/>
        </w:rPr>
        <w:t>металлические части светильников должны иметь антикоррозийную защиту;</w:t>
      </w:r>
    </w:p>
    <w:p>
      <w:pPr>
        <w:pStyle w:val="para4"/>
        <w:ind w:left="540"/>
        <w:spacing w:before="240"/>
        <w:jc w:val="both"/>
        <w:rPr>
          <w:color w:val="000000"/>
        </w:rPr>
      </w:pPr>
      <w:r>
        <w:rPr>
          <w:color w:val="000000"/>
        </w:rPr>
        <w:t>соединительные провода и кабели должны проходить в корпусе светильника;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не допускается открытое размещение светильников;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корпус светильника должен быть изготовлен из высококачественных алюминиевых сплавов, окрашенных порошковой краской в заводских условиях толщиной не менее 60 мкм, или из анодированного алюминия с вандалозащищенным рассеивателем из поликарбоната или стекла;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должна быть обеспечена замена блока питания (источника стабилизированного тока) без демонтажа светильника с опоры;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корпус светильника должен иметь вандалозащищенную конструкцию;</w:t>
      </w:r>
    </w:p>
    <w:p>
      <w:pPr>
        <w:pStyle w:val="para4"/>
        <w:ind w:left="540"/>
        <w:spacing w:before="240"/>
        <w:jc w:val="both"/>
        <w:rPr>
          <w:color w:val="000000"/>
        </w:rPr>
      </w:pPr>
      <w:r>
        <w:rPr>
          <w:color w:val="000000"/>
        </w:rPr>
        <w:t>не допускается применение экструдированного алюминиевого профиля;</w:t>
      </w:r>
    </w:p>
    <w:p>
      <w:pPr>
        <w:pStyle w:val="para4"/>
        <w:ind w:left="540"/>
        <w:spacing w:before="240"/>
        <w:jc w:val="both"/>
        <w:rPr>
          <w:color w:val="000000"/>
        </w:rPr>
      </w:pPr>
      <w:r>
        <w:rPr>
          <w:color w:val="000000"/>
        </w:rPr>
        <w:t>допустимое напряжение питания, В - 220 +/-10%, частота, Гц - 50 +/- 0,4;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цветовая температура - 2700-3000 К (для пешеходных переходов допускается - 4000 К);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светоотдача - не менее 125 лм/Вт;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индекс цветопередачи (CRI) - не менее 80;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защиты блока питания или отсека для его установки - не ниже IP65;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степень защиты оптического отсека - не ниже IP65;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коэффициент пульсации светового потока светильника - не более 5%;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гарантийный срок службы светильника - не менее 3 лет;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срок службы светильника - не менее 12 лет;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коэффициент мощности - не менее 0,95;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количество болтов для крепления на кронштейн - не менее 2 шт.;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светильники должны соответствовать в части воздействия механических факторов внешней среды группе условий эксплуатации М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по ГОСТ 17516.1-90;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температура эксплуатации светильника в диапазоне от минус 40° C до плюс 40° C;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светильники должны соответствовать классу защиты 1 от поражения электрическим током;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светильники должны иметь климатическое исполнение У1.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8.8. После ввода в эксплуатацию многоквартирного дома: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8.8.1. Все объекты благоустройства и элементы благоустройства, благоустроенные при возведении многоквартирного дома (группы домов) в границах земельных участков, находящихся в муниципальной собственности, и земельных участков и земель, государственная собственность на которые не разграничена, подлежат включению органами местного самоуправления муниципальных образований Московской области в титульные списки объектов благоустройства, формируемые и утверждаемые распоряжением Министерства благоустройства Московской области от 06.05.2020 N 10Р-19 "Об утверждении форм титульных списков объектов благоустройства".</w:t>
      </w:r>
    </w:p>
    <w:p>
      <w:pPr>
        <w:pStyle w:val="para4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8.8.2. Должны быть установлены (при необходимости откорректированы) установленные границы прилегающих территорий в соответствии с правилами благоустройства территории муниципального образования Московской области.</w:t>
      </w:r>
    </w:p>
    <w:p>
      <w:pPr>
        <w:pStyle w:val="para4"/>
        <w:spacing/>
        <w:jc w:val="both"/>
        <w:outlineLvl w:val="2"/>
        <w:rPr>
          <w:color w:val="000000"/>
        </w:rPr>
      </w:pPr>
      <w:r>
        <w:rPr>
          <w:color w:val="000000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8"/>
    <w:tmLastPosSelect w:val="0"/>
    <w:tmLastPosFrameIdx w:val="0"/>
    <w:tmLastPosCaret>
      <w:tmLastPosPgfIdx w:val="64"/>
      <w:tmLastPosIdx w:val="37"/>
    </w:tmLastPosCaret>
    <w:tmLastPosAnchor>
      <w:tmLastPosPgfIdx w:val="0"/>
      <w:tmLastPosIdx w:val="0"/>
    </w:tmLastPosAnchor>
    <w:tmLastPosTblRect w:left="0" w:top="0" w:right="0" w:bottom="0"/>
  </w:tmLastPos>
  <w:tmAppRevision w:date="1627320610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ConsPlusNormal"/>
    <w:qFormat/>
    <w:pPr>
      <w:widowControl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kern w:val="1"/>
      <w:sz w:val="24"/>
      <w:szCs w:val="24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ConsPlusNormal"/>
    <w:qFormat/>
    <w:pPr>
      <w:widowControl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kern w:val="1"/>
      <w:sz w:val="24"/>
      <w:szCs w:val="24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2017-11-07T16:06:02Z</dcterms:created>
  <dcterms:modified xsi:type="dcterms:W3CDTF">2021-07-26T17:30:10Z</dcterms:modified>
</cp:coreProperties>
</file>