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</w:pPr>
      <w:r>
        <w:t>Приложение N 1</w:t>
      </w:r>
    </w:p>
    <w:p>
      <w:pPr>
        <w:pStyle w:val="para0"/>
        <w:spacing/>
        <w:jc w:val="right"/>
      </w:pPr>
      <w:r>
        <w:t>к распоряжению Комитета</w:t>
      </w:r>
    </w:p>
    <w:p>
      <w:pPr>
        <w:pStyle w:val="para0"/>
        <w:spacing/>
        <w:jc w:val="right"/>
      </w:pPr>
      <w:r>
        <w:t>по ценам и тарифам</w:t>
      </w:r>
    </w:p>
    <w:p>
      <w:pPr>
        <w:pStyle w:val="para0"/>
        <w:spacing/>
        <w:jc w:val="right"/>
      </w:pPr>
      <w:r>
        <w:t>Московской области</w:t>
      </w:r>
    </w:p>
    <w:p>
      <w:pPr>
        <w:pStyle w:val="para0"/>
        <w:spacing/>
        <w:jc w:val="right"/>
      </w:pPr>
      <w:r>
        <w:t>от 17 декабря 2020 г. N 260-Р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0" w:name="Par34"/>
      <w:bookmarkEnd w:id="0"/>
      <w:r>
        <w:t>ДОЛГОСРОЧНЫЕ ПАРАМЕТРЫ</w:t>
      </w:r>
    </w:p>
    <w:p>
      <w:pPr>
        <w:pStyle w:val="para2"/>
        <w:spacing/>
        <w:jc w:val="center"/>
      </w:pPr>
      <w:r>
        <w:t>РЕГУЛИРОВАНИЯ ТАРИФОВ, ОПРЕДЕЛЯЕМЫЕ НА ДОЛГОСРОЧНЫЙ ПЕРИОД</w:t>
      </w:r>
    </w:p>
    <w:p>
      <w:pPr>
        <w:pStyle w:val="para2"/>
        <w:spacing/>
        <w:jc w:val="center"/>
      </w:pPr>
      <w:r>
        <w:t>РЕГУЛИРОВАНИЯ ПРИ УСТАНОВЛЕНИИ ТАРИФОВ С ИСПОЛЬЗОВАНИЕМ</w:t>
      </w:r>
    </w:p>
    <w:p>
      <w:pPr>
        <w:pStyle w:val="para2"/>
        <w:spacing/>
        <w:jc w:val="center"/>
      </w:pPr>
      <w:r>
        <w:t>МЕТОДА ИНДЕКСАЦИИ, ДЛЯ ОПЕРАТОРОВ ПО ОБРАЩЕНИЮ С ТВЕРДЫМИ</w:t>
      </w:r>
    </w:p>
    <w:p>
      <w:pPr>
        <w:pStyle w:val="para2"/>
        <w:spacing/>
        <w:jc w:val="center"/>
      </w:pPr>
      <w:r>
        <w:t>КОММУНАЛЬНЫМИ ОТХОДАМИ, ОСУЩЕСТВЛЯЮЩИХ ДЕЯТЕЛЬНОСТЬ</w:t>
      </w:r>
    </w:p>
    <w:p>
      <w:pPr>
        <w:pStyle w:val="para2"/>
        <w:spacing/>
        <w:jc w:val="center"/>
      </w:pPr>
      <w:r>
        <w:t>НА ТЕРРИТОРИИ МОСКОВСКОЙ ОБЛАСТИ, НА 2021-2023 ГОДЫ</w:t>
      </w:r>
    </w:p>
    <w:tbl>
      <w:tblPr>
        <w:name w:val="Таблица1"/>
        <w:tabOrder w:val="0"/>
        <w:jc w:val="left"/>
        <w:tblInd w:w="0" w:type="dxa"/>
        <w:tblW w:w="14345" w:type="dxa"/>
      </w:tblPr>
      <w:tblGrid>
        <w:gridCol w:w="567"/>
        <w:gridCol w:w="2041"/>
        <w:gridCol w:w="1531"/>
        <w:gridCol w:w="1871"/>
        <w:gridCol w:w="1814"/>
        <w:gridCol w:w="737"/>
        <w:gridCol w:w="1361"/>
        <w:gridCol w:w="1361"/>
        <w:gridCol w:w="1531"/>
        <w:gridCol w:w="1531"/>
      </w:tblGrid>
      <w:tr>
        <w:trPr>
          <w:tblHeader w:val="0"/>
          <w:cantSplit w:val="0"/>
          <w:trHeight w:val="0" w:hRule="auto"/>
        </w:trPr>
        <w:tc>
          <w:tcPr>
            <w:tcW w:w="56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Наименование оператора по обращению с твердыми коммунальными отходами</w:t>
            </w:r>
          </w:p>
        </w:tc>
        <w:tc>
          <w:tcPr>
            <w:tcW w:w="153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ИНН</w:t>
            </w:r>
          </w:p>
        </w:tc>
        <w:tc>
          <w:tcPr>
            <w:tcW w:w="187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Наименование территории оказания услуг</w:t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Вид товара (услуги) (вид деятельности)</w:t>
            </w:r>
          </w:p>
        </w:tc>
        <w:tc>
          <w:tcPr>
            <w:tcW w:w="73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Год</w:t>
            </w:r>
          </w:p>
        </w:tc>
        <w:tc>
          <w:tcPr>
            <w:tcW w:w="5784" w:type="dxa"/>
            <w:gridSpan w:val="4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Долгосрочные параметры регулирования тарифов, определяемые на долгосрочный период регулирования при установлении тарифов с использованием метода индексации *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53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7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73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36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Базовый уровень операционных расходов, тыс. руб.</w:t>
            </w:r>
          </w:p>
        </w:tc>
        <w:tc>
          <w:tcPr>
            <w:tcW w:w="136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Индекс эффективности операционных расходов, %</w:t>
            </w:r>
          </w:p>
        </w:tc>
        <w:tc>
          <w:tcPr>
            <w:tcW w:w="3062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Показатели энергосбережения и энергетической эффективности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53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7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73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36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36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Удельный расход электроэнергии, кВт.ч/м</w:t>
            </w:r>
            <w:r>
              <w:rPr>
                <w:vertAlign w:val="superscript"/>
              </w:rPr>
              <w:t>3</w:t>
            </w:r>
            <w:r/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Удельный расход электроэнергии (на массу), кВт.ч/тонна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1</w:t>
            </w:r>
          </w:p>
        </w:tc>
        <w:tc>
          <w:tcPr>
            <w:tcW w:w="204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ООО "СПМК СПЛЕНДЕР"</w:t>
            </w:r>
          </w:p>
        </w:tc>
        <w:tc>
          <w:tcPr>
            <w:tcW w:w="153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5076008954</w:t>
            </w:r>
          </w:p>
        </w:tc>
        <w:tc>
          <w:tcPr>
            <w:tcW w:w="187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На территории: городской округ Серебряные Пруды</w:t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Захоронение твердых коммунальных отходов с учетом обработки</w:t>
            </w:r>
          </w:p>
        </w:tc>
        <w:tc>
          <w:tcPr>
            <w:tcW w:w="73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2021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132041,81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0,00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/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9,99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53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7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73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2022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0,00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1,00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/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9,99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204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53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71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73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2023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0,00</w:t>
            </w:r>
          </w:p>
        </w:tc>
        <w:tc>
          <w:tcPr>
            <w:tcW w:w="136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1,00</w:t>
            </w:r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/>
          </w:p>
        </w:tc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9,99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both"/>
      </w:pPr>
      <w:r/>
    </w:p>
    <w:p>
      <w:pPr>
        <w:pStyle w:val="para0"/>
        <w:spacing/>
        <w:jc w:val="right"/>
        <w:outlineLvl w:val="0"/>
      </w:pPr>
      <w:r>
        <w:t>Приложение N 2</w:t>
      </w:r>
    </w:p>
    <w:p>
      <w:pPr>
        <w:pStyle w:val="para0"/>
        <w:spacing/>
        <w:jc w:val="right"/>
      </w:pPr>
      <w:r>
        <w:t>к распоряжению Комитета</w:t>
      </w:r>
    </w:p>
    <w:p>
      <w:pPr>
        <w:pStyle w:val="para0"/>
        <w:spacing/>
        <w:jc w:val="right"/>
      </w:pPr>
      <w:r>
        <w:t>по ценам и тарифам</w:t>
      </w:r>
    </w:p>
    <w:p>
      <w:pPr>
        <w:pStyle w:val="para0"/>
        <w:spacing/>
        <w:jc w:val="right"/>
      </w:pPr>
      <w:r>
        <w:t>Московской области</w:t>
      </w:r>
    </w:p>
    <w:p>
      <w:pPr>
        <w:pStyle w:val="para0"/>
        <w:spacing/>
        <w:jc w:val="right"/>
      </w:pPr>
      <w:r>
        <w:t>от 17 декабря 2020 г. N 260-Р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1" w:name="Par84"/>
      <w:bookmarkEnd w:id="1"/>
      <w:r>
        <w:t>ПРЕДЕЛЬНЫЕ ТАРИФЫ</w:t>
      </w:r>
    </w:p>
    <w:p>
      <w:pPr>
        <w:pStyle w:val="para2"/>
        <w:spacing/>
        <w:jc w:val="center"/>
      </w:pPr>
      <w:r>
        <w:t>ДЛЯ ОПЕРАТОРОВ ПО ОБРАЩЕНИЮ С ТВЕРДЫМИ КОММУНАЛЬНЫМИ</w:t>
      </w:r>
    </w:p>
    <w:p>
      <w:pPr>
        <w:pStyle w:val="para2"/>
        <w:spacing/>
        <w:jc w:val="center"/>
      </w:pPr>
      <w:r>
        <w:t>ОТХОДАМИ, ОСУЩЕСТВЛЯЮЩИХ ДЕЯТЕЛЬНОСТЬ НА ТЕРРИТОРИИ</w:t>
      </w:r>
    </w:p>
    <w:p>
      <w:pPr>
        <w:pStyle w:val="para2"/>
        <w:spacing/>
        <w:jc w:val="center"/>
      </w:pPr>
      <w:r>
        <w:t>МОСКОВСКОЙ ОБЛАСТИ, НА 2021-2023 ГОДЫ</w:t>
      </w:r>
    </w:p>
    <w:p>
      <w:pPr>
        <w:pStyle w:val="para0"/>
        <w:spacing/>
        <w:jc w:val="both"/>
      </w:pPr>
      <w:r/>
    </w:p>
    <w:tbl>
      <w:tblPr>
        <w:name w:val="Таблица2"/>
        <w:tabOrder w:val="0"/>
        <w:jc w:val="left"/>
        <w:tblInd w:w="0" w:type="dxa"/>
        <w:tblW w:w="18590" w:type="dxa"/>
      </w:tblPr>
      <w:tblGrid>
        <w:gridCol w:w="454"/>
        <w:gridCol w:w="1757"/>
        <w:gridCol w:w="1471"/>
        <w:gridCol w:w="1166"/>
        <w:gridCol w:w="1332"/>
        <w:gridCol w:w="957"/>
        <w:gridCol w:w="1118"/>
        <w:gridCol w:w="1265"/>
        <w:gridCol w:w="1595"/>
        <w:gridCol w:w="1445"/>
        <w:gridCol w:w="1340"/>
        <w:gridCol w:w="2990"/>
        <w:gridCol w:w="1700"/>
      </w:tblGrid>
      <w:tr>
        <w:trPr>
          <w:tblHeader w:val="0"/>
          <w:cantSplit w:val="0"/>
          <w:trHeight w:val="0" w:hRule="auto"/>
        </w:trPr>
        <w:tc>
          <w:tcPr>
            <w:tcW w:w="45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N</w:t>
            </w:r>
          </w:p>
        </w:tc>
        <w:tc>
          <w:tcPr>
            <w:tcW w:w="175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43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Наименование оператора по обращению с твердыми коммунальными отходами</w:t>
            </w:r>
          </w:p>
        </w:tc>
        <w:tc>
          <w:tcPr>
            <w:tcW w:w="1471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779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ИНН</w:t>
            </w:r>
          </w:p>
        </w:tc>
        <w:tc>
          <w:tcPr>
            <w:tcW w:w="116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Наименование территории</w:t>
            </w:r>
          </w:p>
        </w:tc>
        <w:tc>
          <w:tcPr>
            <w:tcW w:w="1332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Вид товара (услуги) /вид деятельности</w:t>
            </w:r>
          </w:p>
        </w:tc>
        <w:tc>
          <w:tcPr>
            <w:tcW w:w="957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Тип потребителя</w:t>
            </w:r>
          </w:p>
        </w:tc>
        <w:tc>
          <w:tcPr>
            <w:tcW w:w="111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Порядок учета НДС в тарифе</w:t>
            </w:r>
          </w:p>
        </w:tc>
        <w:tc>
          <w:tcPr>
            <w:tcW w:w="2860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2021</w:t>
            </w:r>
          </w:p>
        </w:tc>
        <w:tc>
          <w:tcPr>
            <w:tcW w:w="2785" w:type="dxa"/>
            <w:gridSpan w:val="2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2022</w:t>
            </w:r>
          </w:p>
        </w:tc>
        <w:tc>
          <w:tcPr>
            <w:tcW w:w="4690" w:type="dxa"/>
            <w:gridSpan w:val="2"/>
            <w:shd w:val="none"/>
            <w:tcMar>
              <w:top w:w="102" w:type="dxa"/>
              <w:left w:w="62" w:type="dxa"/>
              <w:bottom w:w="102" w:type="dxa"/>
              <w:right w:w="281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  <w:tabs defTabSz="708">
                <w:tab w:val="left" w:pos="1644" w:leader="none"/>
                <w:tab w:val="left" w:pos="4628" w:leader="none"/>
              </w:tabs>
            </w:pPr>
            <w:r>
              <w:t>2023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57" w:type="dxa"/>
            <w:vMerge/>
            <w:shd w:val="none"/>
            <w:tcMar>
              <w:top w:w="102" w:type="dxa"/>
              <w:left w:w="62" w:type="dxa"/>
              <w:bottom w:w="102" w:type="dxa"/>
              <w:right w:w="43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1" w:type="dxa"/>
            <w:vMerge/>
            <w:shd w:val="none"/>
            <w:tcMar>
              <w:top w:w="102" w:type="dxa"/>
              <w:left w:w="62" w:type="dxa"/>
              <w:bottom w:w="102" w:type="dxa"/>
              <w:right w:w="779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1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33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95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1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2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с 01.01.2021 по 30.06.2021</w:t>
            </w:r>
          </w:p>
        </w:tc>
        <w:tc>
          <w:tcPr>
            <w:tcW w:w="15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с 01.07.2021 по 31.12.2021</w:t>
            </w:r>
          </w:p>
        </w:tc>
        <w:tc>
          <w:tcPr>
            <w:tcW w:w="14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с 01.01.2022 по 30.06.2022</w:t>
            </w:r>
          </w:p>
        </w:tc>
        <w:tc>
          <w:tcPr>
            <w:tcW w:w="1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с 01.07.2022 по 31.12.2022</w:t>
            </w:r>
          </w:p>
        </w:tc>
        <w:tc>
          <w:tcPr>
            <w:tcW w:w="2990" w:type="dxa"/>
            <w:shd w:val="none"/>
            <w:tcMar>
              <w:top w:w="102" w:type="dxa"/>
              <w:left w:w="62" w:type="dxa"/>
              <w:bottom w:w="102" w:type="dxa"/>
              <w:right w:w="49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с 01.01.2023 по 30.06.2023</w:t>
            </w:r>
          </w:p>
        </w:tc>
        <w:tc>
          <w:tcPr>
            <w:tcW w:w="17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с 01.07.2023 по 31.12.2023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5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757" w:type="dxa"/>
            <w:vMerge/>
            <w:shd w:val="none"/>
            <w:tcMar>
              <w:top w:w="102" w:type="dxa"/>
              <w:left w:w="62" w:type="dxa"/>
              <w:bottom w:w="102" w:type="dxa"/>
              <w:right w:w="43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1" w:type="dxa"/>
            <w:vMerge/>
            <w:shd w:val="none"/>
            <w:tcMar>
              <w:top w:w="102" w:type="dxa"/>
              <w:left w:w="62" w:type="dxa"/>
              <w:bottom w:w="102" w:type="dxa"/>
              <w:right w:w="779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16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332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957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11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2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руб./тонна</w:t>
            </w:r>
          </w:p>
        </w:tc>
        <w:tc>
          <w:tcPr>
            <w:tcW w:w="15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руб./тонна</w:t>
            </w:r>
          </w:p>
        </w:tc>
        <w:tc>
          <w:tcPr>
            <w:tcW w:w="14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руб./тонна</w:t>
            </w:r>
          </w:p>
        </w:tc>
        <w:tc>
          <w:tcPr>
            <w:tcW w:w="1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руб./тонна</w:t>
            </w:r>
          </w:p>
        </w:tc>
        <w:tc>
          <w:tcPr>
            <w:tcW w:w="299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руб./тонна</w:t>
            </w:r>
          </w:p>
        </w:tc>
        <w:tc>
          <w:tcPr>
            <w:tcW w:w="17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  <w:spacing/>
              <w:jc w:val="center"/>
            </w:pPr>
            <w:r>
              <w:t>руб./тонна</w:t>
            </w:r>
          </w:p>
        </w:tc>
      </w:tr>
      <w:tr>
        <w:trPr>
          <w:tblHeader w:val="0"/>
          <w:cantSplit w:val="0"/>
          <w:trHeight w:val="2356" w:hRule="atLeast"/>
        </w:trPr>
        <w:tc>
          <w:tcPr>
            <w:tcW w:w="45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1</w:t>
            </w:r>
          </w:p>
        </w:tc>
        <w:tc>
          <w:tcPr>
            <w:tcW w:w="17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ООО "СПМК СПЛЕНДЕР"</w:t>
            </w:r>
          </w:p>
        </w:tc>
        <w:tc>
          <w:tcPr>
            <w:tcW w:w="147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5076008954</w:t>
            </w:r>
          </w:p>
        </w:tc>
        <w:tc>
          <w:tcPr>
            <w:tcW w:w="11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На территории: городской округ Серебряные Пруды</w:t>
            </w:r>
          </w:p>
        </w:tc>
        <w:tc>
          <w:tcPr>
            <w:tcW w:w="1332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Захоронение твердых коммунальных отходов с учетом обработки</w:t>
            </w:r>
          </w:p>
        </w:tc>
        <w:tc>
          <w:tcPr>
            <w:tcW w:w="95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Прочие</w:t>
            </w:r>
          </w:p>
        </w:tc>
        <w:tc>
          <w:tcPr>
            <w:tcW w:w="1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 xml:space="preserve">Без НДС </w:t>
            </w:r>
            <w:hyperlink w:anchor="Par126" w:history="1">
              <w:r>
                <w:t>&lt;*&gt;</w:t>
              </w:r>
            </w:hyperlink>
          </w:p>
        </w:tc>
        <w:tc>
          <w:tcPr>
            <w:tcW w:w="126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1 890,12</w:t>
            </w:r>
          </w:p>
        </w:tc>
        <w:tc>
          <w:tcPr>
            <w:tcW w:w="159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2 150,00</w:t>
            </w:r>
          </w:p>
        </w:tc>
        <w:tc>
          <w:tcPr>
            <w:tcW w:w="1445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2 052,30</w:t>
            </w:r>
          </w:p>
        </w:tc>
        <w:tc>
          <w:tcPr>
            <w:tcW w:w="134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2 052,30</w:t>
            </w:r>
          </w:p>
        </w:tc>
        <w:tc>
          <w:tcPr>
            <w:tcW w:w="2990" w:type="dxa"/>
            <w:shd w:val="none"/>
            <w:tcMar>
              <w:top w:w="102" w:type="dxa"/>
              <w:left w:w="62" w:type="dxa"/>
              <w:bottom w:w="102" w:type="dxa"/>
              <w:right w:w="946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2 052,30</w:t>
            </w:r>
          </w:p>
        </w:tc>
        <w:tc>
          <w:tcPr>
            <w:tcW w:w="1700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0550466" protected="0"/>
          </w:tcPr>
          <w:p>
            <w:pPr>
              <w:pStyle w:val="para0"/>
            </w:pPr>
            <w:r>
              <w:t>2 122,43</w:t>
            </w:r>
          </w:p>
        </w:tc>
      </w:tr>
    </w:tbl>
    <w:p>
      <w:pPr>
        <w:pStyle w:val="para0"/>
        <w:spacing/>
        <w:jc w:val="both"/>
      </w:pPr>
      <w:r/>
    </w:p>
    <w:p>
      <w:pPr>
        <w:pStyle w:val="para0"/>
        <w:ind w:firstLine="540"/>
        <w:spacing w:before="240"/>
        <w:jc w:val="both"/>
      </w:pPr>
      <w:r>
        <w:t>&lt;*&gt; Налог на добавленную стоимость в предельные тарифы не включен и взимается с потребителя дополнительно.</w:t>
      </w:r>
    </w:p>
    <w:p>
      <w:pPr>
        <w:pStyle w:val="para0"/>
        <w:spacing/>
        <w:jc w:val="both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1906" w:w="16838" w:orient="landscape"/>
      <w:pgMar w:left="170" w:top="283" w:right="737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42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tmAppRevision w:date="1610550466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260-р\260-Р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Мособлкомцен от 17.12.2020 N 260-Р"Об установлении долгосрочных параметров регулирования тарифов и установлении предельных тарифов для операторов по обращению с твердыми коммунальными отходами, осуществляющих деятельность на территории Московской области, на 2021-2023 годы"</dc:title>
  <dc:subject/>
  <dc:creator/>
  <cp:keywords/>
  <dc:description/>
  <cp:lastModifiedBy/>
  <cp:revision>1</cp:revision>
  <cp:lastPrinted>2021-01-13T15:08:51Z</cp:lastPrinted>
  <dcterms:created xsi:type="dcterms:W3CDTF">2021-01-13T14:50:42Z</dcterms:created>
  <dcterms:modified xsi:type="dcterms:W3CDTF">2021-01-13T15:07:46Z</dcterms:modified>
</cp:coreProperties>
</file>