
<file path=[Content_Types].xml><?xml version="1.0" encoding="utf-8"?>
<Types xmlns="http://schemas.openxmlformats.org/package/2006/content-types">
  <Default Extension="rels" ContentType="application/vnd.openxmlformats-package.relationships+xml"/>
  <Default Extension="emf" ContentType="application/x-msmetafile"/>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&#65279;<?xml version="1.0" encoding="utf-8"?><Relationships xmlns="http://schemas.openxmlformats.org/package/2006/relationships"><Relationship Id="R5B6ACA73"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jc w:val="right"/>
        <w:outlineLvl w:val="0"/>
        <w:rPr>
          <w:color w:val="000000"/>
        </w:rPr>
      </w:pPr>
      <w:r>
        <w:rPr>
          <w:color w:val="000000"/>
          <w:lang w:val="ru-RU" w:bidi="ru-RU" w:eastAsia="ru-RU"/>
        </w:rPr>
        <w:t>П</w:t>
      </w:r>
      <w:r>
        <w:rPr>
          <w:color w:val="000000"/>
        </w:rPr>
        <w:t>риложение</w:t>
      </w:r>
    </w:p>
    <w:p>
      <w:pPr>
        <w:jc w:val="right"/>
        <w:rPr>
          <w:color w:val="000000"/>
        </w:rPr>
      </w:pPr>
      <w:r>
        <w:rPr>
          <w:color w:val="000000"/>
        </w:rPr>
        <w:t>к распоряжению Комитета по ценам</w:t>
      </w:r>
    </w:p>
    <w:p>
      <w:pPr>
        <w:jc w:val="right"/>
        <w:rPr>
          <w:color w:val="000000"/>
        </w:rPr>
      </w:pPr>
      <w:r>
        <w:rPr>
          <w:color w:val="000000"/>
        </w:rPr>
        <w:t>и тарифам Московской области</w:t>
      </w:r>
    </w:p>
    <w:p>
      <w:pPr>
        <w:jc w:val="right"/>
        <w:rPr>
          <w:color w:val="000000"/>
        </w:rPr>
      </w:pPr>
      <w:r>
        <w:rPr>
          <w:color w:val="000000"/>
        </w:rPr>
        <w:t>от 10 декабря 2020 г. N 237-Р</w:t>
      </w:r>
    </w:p>
    <w:p>
      <w:pPr>
        <w:jc w:val="both"/>
        <w:rPr>
          <w:color w:val="000000"/>
        </w:rPr>
      </w:pPr>
    </w:p>
    <w:p>
      <w:pPr>
        <w:pStyle w:val="P2"/>
        <w:jc w:val="center"/>
        <w:rPr>
          <w:color w:val="000000"/>
        </w:rPr>
      </w:pPr>
      <w:bookmarkStart w:id="0" w:name="Par31"/>
      <w:bookmarkEnd w:id="0"/>
      <w:r>
        <w:rPr>
          <w:color w:val="000000"/>
        </w:rPr>
        <w:t>ПЛАТА</w:t>
      </w:r>
    </w:p>
    <w:p>
      <w:pPr>
        <w:pStyle w:val="P2"/>
        <w:jc w:val="center"/>
        <w:rPr>
          <w:color w:val="000000"/>
        </w:rPr>
      </w:pPr>
      <w:r>
        <w:rPr>
          <w:color w:val="000000"/>
        </w:rPr>
        <w:t>ЗА ПОДКЛЮЧЕНИЕ (ТЕХНОЛОГИЧЕСКОЕ ПРИСОЕДИНЕНИЕ) В РАСЧЕТЕ</w:t>
      </w:r>
    </w:p>
    <w:p>
      <w:pPr>
        <w:pStyle w:val="P2"/>
        <w:jc w:val="center"/>
        <w:rPr>
          <w:color w:val="000000"/>
        </w:rPr>
      </w:pPr>
      <w:r>
        <w:rPr>
          <w:color w:val="000000"/>
        </w:rPr>
        <w:t>НА ЕДИНИЦУ МОЩНОСТИ ПОДКЛЮЧАЕМОЙ ТЕПЛОВОЙ НАГРУЗКИ К СИСТЕМЕ</w:t>
      </w:r>
    </w:p>
    <w:p>
      <w:pPr>
        <w:pStyle w:val="P2"/>
        <w:jc w:val="center"/>
        <w:rPr>
          <w:color w:val="000000"/>
        </w:rPr>
      </w:pPr>
      <w:r>
        <w:rPr>
          <w:color w:val="000000"/>
        </w:rPr>
        <w:t>ТЕПЛОСНАБЖЕНИЯ ПРИ НАЛИЧИИ ТЕХНИЧЕСКОЙ ВОЗМОЖНОСТИ</w:t>
      </w:r>
    </w:p>
    <w:p>
      <w:pPr>
        <w:pStyle w:val="P2"/>
        <w:jc w:val="center"/>
        <w:rPr>
          <w:color w:val="000000"/>
        </w:rPr>
      </w:pPr>
      <w:r>
        <w:rPr>
          <w:color w:val="000000"/>
        </w:rPr>
        <w:t>ПОДКЛЮЧЕНИЯ ДЛЯ ТЕПЛОСНАБЖАЮЩИХ И ТЕПЛОСЕТЕВЫХ ОРГАНИЗАЦИЙ</w:t>
      </w:r>
    </w:p>
    <w:p>
      <w:pPr>
        <w:pStyle w:val="P2"/>
        <w:jc w:val="center"/>
        <w:rPr>
          <w:color w:val="000000"/>
        </w:rPr>
      </w:pPr>
      <w:r>
        <w:rPr>
          <w:color w:val="000000"/>
        </w:rPr>
        <w:t>НА ТЕРРИТОРИИ МОСКОВСКОЙ ОБЛАСТИ НА 2021 ГОД</w:t>
      </w:r>
    </w:p>
    <w:p>
      <w:pPr>
        <w:jc w:val="both"/>
        <w:rPr>
          <w:color w:val="000000"/>
        </w:rPr>
      </w:pPr>
    </w:p>
    <w:tbl>
      <w:tblPr>
        <w:tblW w:w="0" w:type="auto"/>
        <w:tblInd w:w="62" w:type="dxa"/>
        <w:tblLayout w:type="fixed"/>
        <w:tblCellMar>
          <w:top w:w="102" w:type="dxa"/>
          <w:left w:w="62" w:type="dxa"/>
          <w:bottom w:w="102" w:type="dxa"/>
          <w:right w:w="62" w:type="dxa"/>
        </w:tblCellMar>
      </w:tblPr>
      <w:tblGrid/>
      <w:tr>
        <w:tc>
          <w:tcPr>
            <w:tcW w:w="56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color w:val="000000"/>
              </w:rPr>
            </w:pPr>
            <w:r>
              <w:rPr>
                <w:color w:val="000000"/>
              </w:rPr>
              <w:t>N п/п</w:t>
            </w: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color w:val="000000"/>
              </w:rPr>
            </w:pPr>
            <w:r>
              <w:rPr>
                <w:color w:val="000000"/>
              </w:rPr>
              <w:t>Наименование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color w:val="000000"/>
              </w:rPr>
            </w:pPr>
            <w:r>
              <w:rPr>
                <w:color w:val="000000"/>
              </w:rPr>
              <w:t>Значение (без НДС)</w:t>
            </w:r>
          </w:p>
        </w:tc>
      </w:tr>
      <w:tr>
        <w:tc>
          <w:tcPr>
            <w:tcW w:w="56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color w:val="000000"/>
              </w:rPr>
            </w:pPr>
            <w:r>
              <w:rPr>
                <w:color w:val="000000"/>
              </w:rPr>
              <w:t>1</w:t>
            </w: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color w:val="000000"/>
              </w:rPr>
            </w:pPr>
            <w:r>
              <w:rPr>
                <w:color w:val="000000"/>
              </w:rPr>
              <w:t>2</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color w:val="000000"/>
              </w:rPr>
            </w:pPr>
            <w:r>
              <w:rPr>
                <w:color w:val="000000"/>
              </w:rPr>
              <w:t>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color w:val="000000"/>
              </w:rPr>
            </w:pPr>
            <w:r>
              <w:rPr>
                <w:color w:val="000000"/>
              </w:rPr>
              <w:t>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center"/>
              <w:rPr>
                <w:color w:val="000000"/>
              </w:rPr>
            </w:pPr>
            <w:r>
              <w:rPr>
                <w:color w:val="000000"/>
              </w:rPr>
              <w:t>5</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&lt;...&gt; (ИНН 5001018070) на территории городского округа Балашиха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"ТЕПЛОСЕТЬ" (ИНН 5012001181) на территории городского округа Балашиха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"Мортон-РСО" (ИНН 7714192290) на территории городского округа Балашиха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"Хант-Холдинг" (ИНН 5006004770) на территории городского округа Балашиха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"ЕвроСибЭнерго-Кубань" (ИНН 2373002188) на территории городского округа Балашиха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"ТСБ" (ИНН 5001036552) на территории городского округа Балашиха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"НПО "Прибор" имени С.С. Голембиовского" (ИНН 7726700943) на территории Богородского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ОАО "Караваево" (ИНН 5031002293) на территории Богородского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"УК Бисерово Сервис" (ИНН 5031103140) на территории Богородского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"Фаворит-Сервис" (ИНН 5031083091) на территории Богородского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"Ногинсктрастинвест" (ИНН 5031066508) на территории Богородского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ОАО "НПТО ЖКХ" (ИНН 5031100117) на территории Богородского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"Бронницкий ТВК" (ИНН 5002004144) на территории городского округа Бронницы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"Благоустройство и развитие" городского округа Власиха (ИНН 5032223658) на территории городского округа Власиха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"ВОЛОКОЛАМСКОЕ ПТП РЖКХ" (ИНН 5004021787) на территории Волоколамского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"ОСТАШЕВСКОЕ ЖКХ" (ИНН 5004029994) на территории Волоколамского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"ТЕПЛОСЕРВИС" (ИНН 5004018174) на территории Волоколамского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ОАО "Воскресенск-Техноткань" (ИНН 5005000518) на территории городского округа Воскресенск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"Белоозерское ЖКХ" (ИНН 5005038631) на территории городского округа Воскресенск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20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ОАО "Фетр" (ИНН 5005001180) на территории городского округа Воскресенск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21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ФКП "ГК НИПАС" (ИНН 5005020218) на территории городского округа Воскресенск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22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ФГУП "ФЦДТ "Союз" (ИНН 5027030450) на территории городского округа Дзержинский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23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"Апраксин Центр" (ИНН 7705481426) на территории Дмитровского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24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"Дмитровский трикотаж" (ИНН 5007102314) на территории Дмитровского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25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"ДМИТРОВТЕПЛОСЕРВИС" (ИНН 5007048177) на территории Дмитровского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26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"Катуар-Инвест" (ИНН 5007091341) на территории Дмитровского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27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ФГБУ "ТЦСКР "Озеро Круглое" (ИНН 5007088910) на территории Дмитровского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28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ФГБУ "ЦАО" (ИНН 5008000604) на территории городского округа Долгопрудный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29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"ТЕПЛОСЕТЬ" (ИНН 5009022752) на территории городского округа Домодедово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30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ГБУ ПНИ N 32 им. О.В. Кербикова (ИНН 5009014328) на территории городского округа Домодедово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31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Госфильмофонд России (ИНН 5009007137) на территории городского округа Домодедово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32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"Дом и К" (ИНН 5009040215) на территории городского округа Домодедово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33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"Цит Транс М" (ИНН 7709298076) на территории городского округа Домодедово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34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ФГКУ "Санаторий "Москвич" (ИНН 5009005806) на территории городского округа Домодедово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35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ФКУЗ "Санаторий "Зеленая роща" МВД России" (ИНН 5009004418) на территории городского округа Домодедово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36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"ОЭЗ ТВТ "Дубна" (ИНН 5010034054) на территории городского округа Дубна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37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"ЭНЕРГОТЕН" (ИНН 5010003793) на территории городского округа Дубна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38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МП "Теплоцентраль" (ИНН 5013006792) на территории городского округа Жуковский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39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"ЛИИ им. М.М. Громова" (ИНН 5040114973) на территории городского округа Жуковский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40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"ЕСКХ Зарайского района" (ИНН 5014008866) на территории городского округа Зарайск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41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ФГБУ "НИИ ЦПК имени Ю.А. Гагарина" (ИНН 5050077618) на территории городского округа Звездный городок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42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"Ивантеевская Теплосеть" (ИНН 5016013325) на территории городского округа Ивантеевка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43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"ИТ Энергосбыт" (ИНН 5038120345) на территории городского округа Ивантеевка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44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"Стройрегистр" (ИНН 5054010340) на территории городского округа Ивантеевка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45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"Негреско" (ИНН 7702555310) на территории городского округа Ивантеевка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46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"Истринская теплосеть" (ИНН 5017067757) на территории городского округа Истра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47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ЗАО "ЭНО" (ИНН 5017032666) на территории городского округа Истра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48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"Компьюлинк Инфраструктура Кашира" (ИНН 5019028390) на территории городского округа Кашира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49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"КЛИНТЕПЛОСЕТЬ" (ИНН 5020079505) на территории городского округа Клин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50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МП "РЭУ" (ИНН 5022556658) на территории Коломенского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51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"Тепло Коломны" (ИНН 5022030985) на территории Коломенского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52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"АДС СЕРВИС" (ИНН 5075020934) на территории Коломенского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53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"ПРОМЭНЕРГОПРОДУКТ" (ИНН 5022028922) на территории Коломенского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54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ФГБУ "ДДО "Непецино" (ИНН 5070001279) на территории Коломенского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55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"Корпорация "Тактическое ракетное вооружение" (ИНН 5099000013) на территории городского округа Королев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56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"Теплосеть" (ИНН 5018134438) на территории городского округа Королев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57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ПАО "РКК "Энергия" (ИНН 5018033937) на территории городского округа Королев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58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"МСК Инжиниринг" (ИНН 5027188045) на территории городского округа Котельники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59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"ТВС" (ИНН 7728493770) на территории городского округа Красногорск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60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"Бецема" (ИНН 5024012580) на территории городского округа Красногорск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61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"Красногорская теплосеть" (ИНН 5024047494) на территории городского округа Красногорск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62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"Маркет Трейд Центр" (ИНН 5024043965) на территории городского округа Красногорск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63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"175 ДОК" (ИНН 5024060150) на территории городского округа Красногорск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64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"НИГО-М" (ИНН 5024045200) на территории городского округа Красногорск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65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"ТЭСИС" (ИНН 5024092137) на территории городского округа Красногорск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66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"ЭТС" (ИНН 5024138127) на территории городского округа Красногорск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67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ЗАО "Совхоз имени Ленина" (ИНН 5003009032) на территории Ленинского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68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"Вега" (ИНН 5003113185) на территории Ленинского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69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"ТеплоГрад" (ИНН 5003102553) на территории Ленинского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70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ФГБУ Санаторий им. Горького Минздрава России (ИНН 5050015548) на территории городского округа Лосино-Петровский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71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МП "Лосино-Петровский Комплекс ТеплоВодоСнабжения" (ИНН 5050097808) на территории городского округа Лосино-Петровский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72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МП "Лотошинское ЖКХ" (ИНН 5071005886) на территории городского округа Лотошино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73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НПП "КлАСС" (ИНН 7724032017) на территории городского округа Луховицы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74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"ВТКХ" (ИНН 5072003225) на территории городского округа Луховицы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75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МП "Лыткаринская теплосеть" (ИНН 5026000406) на территории городского округа Лыткарино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76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"Люберецкая теплосеть" (ИНН 5027130221) на территории городского округа Люберцы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77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"Любэнергоснаб" (ИНН 5027098306) на территории городского округа Люберцы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78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ПАО "МЭЗ" (ИНН 5027028130) на территории городского округа Люберцы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79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"ФПЛК" (ИНН 5024070944) на территории Можайского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80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"Молодежный" (ИНН 5030091131) на территории городского округа Молодежный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81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"Мытищинская теплосеть" (ИНН 5029004624) на территории городского округа Мытищи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82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"Жостовская фабрика" (ИНН 5029081227) на территории городского округа Мытищи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83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"Наро-Фоминский хладокомбинат" (ИНН 5030004410) на территории Наро-Фоминского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84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"Теплосеть" (ИНН 5030015490) на территории Наро-Фоминского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85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"НарПромЭнерго" (ИНН 5030081006) на территории Наро-Фоминского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86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МП "Звенигородские инженерные сети" (ИНН 5015249617) на территории Одинцовского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87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ФГУП "Комплекс" (ИНН 5003005239) на территории Одинцовского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88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"Одинцовская теплосеть" (ИНН 5032199740) на территории Одинцовского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89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"РУШ" (ИНН 5032269645) на территории Одинцовского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90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"УК-Энергоцентр" (ИНН 5015283657) на территории Одинцовского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91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НПО "Союз-М" (ИНН 7701048405) на территории Одинцовского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92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"ПТО ЖХ N 8" (ИНН 5073006726) на территории Орехово-Зуевского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93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ОАО "ДМЗ" (ИНН 5073050010) на территории Орехово-Зуевского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94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МЗ "Тонар" (ИНН 5034016022) на территории Орехово-Зуевского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95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РТРС (ИНН 7717127211) на территории Орехово-Зуевского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96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"ТГК-7" (ИНН 5024139265) на территории Орехово-Зуевского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97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ЗАО "Рахмановский шелковый комбинат" (ИНН 5035002671) на территории городского округа Павловский Посад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98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"Энергетик" (ИНН 5035019481) на территории городского округа Павловский Посад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99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"ПЗЭМИ" (ИНН 5036003332) на территории городского округа Подольск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100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ЗАО "КСПЗ" (ИНН 5021011845) на территории городского округа Подольск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101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"Подольская теплосеть" (ИНН 5036002770) на территории городского округа Подольск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102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"Диском Сервис" (ИНН 5036124344) на территории городского округа Подольск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103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"РЭО" (ИНН 5036069580) на территории городского округа Подольск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104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"ПЭЗ им. Калинина" (ИНН 5036050290) на территории городского округа Подольск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105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ПАО "ЗиО-Подольск" (ИНН 5036040729) на территории городского округа Подольск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106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"ПРОТЭП" (ИНН 5037002934) на территории городского округа Протвино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107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"ТВК г. Пущино" (ИНН 5039008071) на территории городского округа Пущино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108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ФГБОУ ВО "РГУТИС" (ИНН 5038005448) на территории Пушкинского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109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ГБПОУ МО "Пушкинский лесотехнический техникум" (ИНН 5038005825) на территории Пушкинского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110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"Мособлстрой N 20" (ИНН 5038012910) на территории Пушкинского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111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Лечебно-профилактическое учреждение "Санаторий "Правда" (ИНН 5038036051) на территории Пушкинского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112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"Лесной" (ИНН 5038070260) на территории Пушкинского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113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"Новое Тишково" (ИНН 5038998281) на территории Пушкинского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114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"РПКБ" (ИНН 5040007594) на территории Раменского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115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"ЛОГОПАРК МЕНЕДЖМЕНТ" (ИНН 5040071960) на территории Раменского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116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"Раменская теплосеть" (ИНН 5040109331) на территории Раменского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117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ГБСУСОН МО "Денежниковский психоневрологический интернат" (ИНН 5040036267) на территории Раменского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118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ОАО "РАТЕКС" (ИНН 5040007918) на территории Раменского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119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"РСК" (ИНН 5012055109) на территории городского округа Реутов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120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"ЖИЛСЕРВИС" (ИНН 5075369524) на территории Рузского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121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"Лечебно-профилактическое учреждение "Санаторий Дорохово" (ИНН 5075023100) на территории Рузского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122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"РКС" (ИНН 5042143553) на территории Сергиево-Посадского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123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"ЦНИИСМ" (ИНН 5042003203) на территории Сергиево-Посадского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124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ЗАО "СТРОЙГРУППА СП" (ИНН 5042074571) на территории Сергиево-Посадского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125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"ККК" (ИНН 5042128611) на территории Сергиево-Посадского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126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"СП ТЕПЛОСЕТЬ" (ИНН 5042150198) на территории Сергиево-Посадского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127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ФКП "НИЦ РКП" (ИНН 5042006211) на территории Сергиево-Посадского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128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"РСО г.о. Серебряные Пруды" (ИНН 5019027534) на территории городского округа Серебряные Пруды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129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"Серпуховский завод "Металлист" (ИНН 5043012881) на территории городского округа Серпухов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130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ГБУ ПНИ N 2 (ИНН 5077000796) на территории городского округа Серпухов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131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ОАО "Химволокно" (ИНН 5043000117) на территории городского округа Серпухов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132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"ЭНЕРГОРЕСУРС" (ИНН 5044090882) на территории городского округа Солнечногорск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133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"ТСК" (ИНН 5044114646) на территории городского округа Солнечногорск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134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"НПО Стеклопластик" (ИНН 5044000039) на территории городского округа Солнечногорск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135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"ИКЖКХ" (ИНН 5044046731) на территории городского округа Солнечногорск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136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"Жилремстрой" (ИНН 5044043360) на территории городского округа Солнечногорск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137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"Инфракомплекс-Сервис" (ИНН 5044047580) на территории городского округа Солнечногорск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138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ФГУП "ВНИИФТРИ" (ИНН 5044000102) на территории городского округа Солнечногорск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139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"СМК" (ИНН 5045023416) на территории городского округа Ступино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140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ГБУ "Пансионат для инвалидов по зрению" (ИНН 5045032690) на территории городского округа Ступино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141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ОАО "Климатехника" (ИНН 7710088186) на территории городского округа Ступино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142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ГБУ ПНИ N 13 (ИНН 5045015550) на территории городского округа Ступино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143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"ПТО ЖКХ" (ИНН 5045003106) на территории городского округа Ступино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144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ФГКУ "Санаторий "Семеновское" (ИНН 5045003201) на территории городского округа Ступино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145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"Талдомсервис" г. Талдом (ИНН 5078015918) на территории Талдомский городского округа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146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"Теплосеть" (ИНН 5052021890) на территории городского округа Фрязино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147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"ГУОВ" (ИНН 7703702341) на территории городского округа Химки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148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"Шаляпинская усадьба" (ИНН 5047136341) на территории городского округа Химки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149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"МАШ" (ИНН 7712094033) на территории городского округа Химки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150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"ЦИТЭО" (ИНН 5047162704) на территории городского округа Химки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151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"ЭНЕРГОСТАНДАРТ" (ИНН 5047128541) на территории городского округа Химки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152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"МСИ" (ИНН 7708000794) на территории городского округа Чехов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153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"РИГЭК" (ИНН 5048028765) на территории городского округа Чехов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154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"Прогресс" (ИНН 5049021561) на территории городского округа Шатура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155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"Шатурское ПТО ГХ" (ИНН 5049003153) на территории городского округа Шатура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156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ПАО "ЮНИПРО" (ИНН 8602067092) на территории городского округа Шатура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157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МПКХ "Шаховская" (ИНН 5079000720) на территории городского округа Шаховская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158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"СМ-Теплоресурс" (ИНН 5050106964) на территории городского округа Щелково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159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"Теплосервис" (ИНН 5041024698) на территории городского округа Щелково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160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Фряновское МП ЖКХ ГОЩ (ИНН 5050037781) на территории городского округа Щелково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161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"Энерго Трансфер" (ИНН 5053031065) на территории городского округа Электросталь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162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"ВКС" (ИНН 5053039931) на территории городского округа Электросталь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163</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МУП "ЭЦУ" (ИНН 5053041031) на территории городского округа Электросталь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164</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"Глобус" (ИНН 5031075380) на территории городского округа Электросталь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165</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"ГрадИнвест" (ИНН 7729609724) на территории городского округа Балашиха и городского округа Щелково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166</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"СП-СанТехМонтаж" (ИНН 5050047525) на территории городского округа Щелково и городского округа Лосино-Петровский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167</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"ТермоТрон" (ИНН 5024159342) на территории городского округа Красногорск и городского округа Люберцы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168</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"ТехноАльянсИнвест" (ИНН 5001083979) на территории городского округа Люберцы и городского округа Лобня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169</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"ТЕПЛОГЕНЕРАЦИЯ" (ИНН 5047153185) на территории городского округа Химки и городского округа Солнечногорск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170</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ООО "Гранель Инжиниринг" (ИНН 5001091909) на территории городского округа Балашиха, городского округа Королев, Ленинский городского округа и городского округа Мытищи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171</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"МОЭГ" (ИНН 5012070724) на территории городского округа Балашиха и городского округа Люберцы Московской области на 2021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r>
        <w:tc>
          <w:tcPr>
            <w:tcW w:w="567"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outlineLvl w:val="1"/>
              <w:rPr>
                <w:color w:val="000000"/>
              </w:rPr>
            </w:pPr>
            <w:r>
              <w:rPr>
                <w:color w:val="000000"/>
              </w:rPr>
              <w:t>172</w:t>
            </w: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АО "ТЭП" (ИНН 5029191766) на территории Московской области на 2020 г. &lt;*&gt;</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Плата за подключение (технологическое присоединение) в расчете на единицу мощности подключаемой тепловой нагрузки при наличии технической возможности подключения, в том числе:</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проведение мероприятий по подключению объектов заявителей (П</w:t>
            </w:r>
            <w:r>
              <w:rPr>
                <w:color w:val="000000"/>
                <w:vertAlign w:val="subscript"/>
              </w:rPr>
              <w:t>1</w:t>
            </w:r>
            <w:r>
              <w:rPr>
                <w:color w:val="000000"/>
              </w:rPr>
              <w:t>), тыс. руб./Гкал/ч</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34,40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Расходы на создание двухтрубных тепловых сетей и объектов на них (за исключением создания (реконструкции) тепловых пунктов)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(П</w:t>
            </w:r>
            <w:r>
              <w:rPr>
                <w:color w:val="000000"/>
                <w:vertAlign w:val="subscript"/>
              </w:rPr>
              <w:t>2.1</w:t>
            </w:r>
            <w:r>
              <w:rPr>
                <w:color w:val="000000"/>
              </w:rPr>
              <w:t>) (тыс. руб./м)/Гкал/ч:</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restart"/>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Подземная прокладка, в том числе:</w:t>
            </w:r>
          </w:p>
        </w:tc>
        <w:tc>
          <w:tcPr>
            <w:tcW w:w="5442" w:type="dxa"/>
            <w:gridSpan w:val="3"/>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Категория протяженности</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До 50 м включительно</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От 50 м до 200 м включительно</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Более 200 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Канальная прокладка (П</w:t>
            </w:r>
            <w:r>
              <w:rPr>
                <w:color w:val="000000"/>
                <w:vertAlign w:val="subscript"/>
              </w:rPr>
              <w:t>2.1</w:t>
            </w:r>
            <w:r>
              <w:rPr>
                <w:color w:val="000000"/>
                <w:vertAlign w:val="superscript"/>
              </w:rPr>
              <w:t>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260,13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238,31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227,40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157,92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144,63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137,98</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85,23</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81,54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72,43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64,55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37,62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33,55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31,51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25,61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22,81</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21,42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16,39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10,53</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9,20</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8,54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8503" w:type="dxa"/>
            <w:gridSpan w:val="4"/>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Бесканальная прокладка (П</w:t>
            </w:r>
            <w:r>
              <w:rPr>
                <w:color w:val="000000"/>
                <w:vertAlign w:val="subscript"/>
              </w:rPr>
              <w:t>2.1</w:t>
            </w:r>
            <w:r>
              <w:rPr>
                <w:color w:val="000000"/>
                <w:vertAlign w:val="superscript"/>
              </w:rPr>
              <w:t>б/к</w:t>
            </w:r>
            <w:r>
              <w:rPr>
                <w:color w:val="000000"/>
              </w:rPr>
              <w:t>) диаметром:</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97,88</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76,06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65,15</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48,17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41,52</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35,94</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28,56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24,86</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32,42</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24,54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20,61</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125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18,11</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14,04</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12,00</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13,06</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10,27</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8,87</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200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9,47</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7,25</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6,14</w:t>
            </w:r>
          </w:p>
        </w:tc>
      </w:tr>
      <w:tr>
        <w:tc>
          <w:tcPr>
            <w:tcW w:w="567" w:type="dxa"/>
            <w:vMerge w:val="continue"/>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jc w:val="both"/>
              <w:rPr>
                <w:color w:val="000000"/>
              </w:rPr>
            </w:pPr>
          </w:p>
        </w:tc>
        <w:tc>
          <w:tcPr>
            <w:tcW w:w="3061"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250 мм</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6,69</w:t>
            </w:r>
          </w:p>
        </w:tc>
        <w:tc>
          <w:tcPr>
            <w:tcW w:w="1928"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5,36</w:t>
            </w:r>
          </w:p>
        </w:tc>
        <w:tc>
          <w:tcPr>
            <w:tcW w:w="1757" w:type="dxa"/>
            <w:tcBorders>
              <w:top w:val="single" w:sz="4" w:space="0" w:shadow="0" w:frame="0" w:color="000000"/>
              <w:left w:val="single" w:sz="4" w:space="0" w:shadow="0" w:frame="0" w:color="000000"/>
              <w:bottom w:val="single" w:sz="4" w:space="0" w:shadow="0" w:frame="0" w:color="000000"/>
              <w:right w:val="single" w:sz="4" w:space="0" w:shadow="0" w:frame="0" w:color="000000"/>
            </w:tcBorders>
          </w:tcPr>
          <w:p>
            <w:pPr>
              <w:rPr>
                <w:color w:val="000000"/>
              </w:rPr>
            </w:pPr>
            <w:r>
              <w:rPr>
                <w:color w:val="000000"/>
              </w:rPr>
              <w:t>4,70</w:t>
            </w:r>
          </w:p>
        </w:tc>
      </w:tr>
    </w:tbl>
    <w:p>
      <w:pPr>
        <w:spacing w:before="240"/>
        <w:ind w:hanging="0" w:left="0"/>
        <w:jc w:val="both"/>
        <w:rPr>
          <w:color w:val="000000"/>
        </w:rPr>
      </w:pPr>
      <w:r>
        <w:rPr>
          <w:color w:val="000000"/>
        </w:rPr>
        <w:t>&lt;*&gt; Размер платы за подключение (технологическое присоединение) объекта заявителя при наличии технической возможности подключения рассчитывается организацией, осуществляющей подключение (технологическое присоединение), по следующей формуле:</w:t>
      </w:r>
    </w:p>
    <w:p>
      <w:pPr>
        <w:jc w:val="both"/>
        <w:rPr>
          <w:color w:val="000000"/>
        </w:rPr>
      </w:pPr>
    </w:p>
    <w:p>
      <w:pPr>
        <w:jc w:val="center"/>
        <w:rPr>
          <w:color w:val="000000"/>
        </w:rPr>
      </w:pPr>
      <w:r>
        <w:drawing>
          <wp:inline xmlns:wp="http://schemas.openxmlformats.org/drawingml/2006/wordprocessingDrawing">
            <wp:extent cx="3691890" cy="58293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3691890" cy="582930"/>
                    </a:xfrm>
                    <a:prstGeom prst="rect"/>
                    <a:noFill/>
                  </pic:spPr>
                </pic:pic>
              </a:graphicData>
            </a:graphic>
          </wp:inline>
        </w:drawing>
      </w:r>
    </w:p>
    <w:p>
      <w:pPr>
        <w:jc w:val="both"/>
        <w:rPr>
          <w:color w:val="000000"/>
        </w:rPr>
      </w:pPr>
    </w:p>
    <w:p>
      <w:pPr>
        <w:ind w:firstLine="540"/>
        <w:jc w:val="both"/>
        <w:rPr>
          <w:color w:val="000000"/>
        </w:rPr>
      </w:pPr>
      <w:r>
        <w:rPr>
          <w:color w:val="000000"/>
        </w:rPr>
        <w:t>П</w:t>
      </w:r>
      <w:r>
        <w:rPr>
          <w:color w:val="000000"/>
          <w:vertAlign w:val="subscript"/>
        </w:rPr>
        <w:t>1</w:t>
      </w:r>
      <w:r>
        <w:rPr>
          <w:color w:val="000000"/>
        </w:rPr>
        <w:t xml:space="preserve"> - расходы на проведение мероприятий по подключению объекта заявителя (тыс. руб./Гкал/ч);</w:t>
      </w:r>
    </w:p>
    <w:p>
      <w:pPr>
        <w:spacing w:before="240"/>
        <w:ind w:firstLine="540"/>
        <w:jc w:val="both"/>
        <w:rPr>
          <w:color w:val="000000"/>
        </w:rPr>
      </w:pPr>
      <w:r>
        <w:rPr>
          <w:color w:val="000000"/>
        </w:rPr>
        <w:t>Q - подключаемая тепловая нагрузка объекта заявителя (Гкал/ч);</w:t>
      </w:r>
    </w:p>
    <w:p>
      <w:pPr>
        <w:spacing w:before="240"/>
        <w:ind w:firstLine="540"/>
        <w:jc w:val="both"/>
        <w:rPr>
          <w:color w:val="000000"/>
        </w:rPr>
      </w:pPr>
      <w:r>
        <w:drawing>
          <wp:inline xmlns:wp="http://schemas.openxmlformats.org/drawingml/2006/wordprocessingDrawing">
            <wp:extent cx="422910" cy="32004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tretch>
                      <a:fillRect/>
                    </a:stretch>
                  </pic:blipFill>
                  <pic:spPr>
                    <a:xfrm>
                      <a:off x="0" y="0"/>
                      <a:ext cx="422910" cy="320040"/>
                    </a:xfrm>
                    <a:prstGeom prst="rect"/>
                    <a:noFill/>
                  </pic:spPr>
                </pic:pic>
              </a:graphicData>
            </a:graphic>
          </wp:inline>
        </w:drawing>
      </w:r>
      <w:r>
        <w:rPr>
          <w:color w:val="000000"/>
        </w:rPr>
        <w:t xml:space="preserve"> - расходы на создание двухтрубных тепловых сетей (за исключением создания (реконструкции) тепловых пунктов) бесканального типа прокладки i-го диапазона диаметров p-й категории протяженности от существующей тепловой сети или источника тепловой энергии до точки подключения объекта заявителя (тыс. руб./м)/Гкал/ч);</w:t>
      </w:r>
    </w:p>
    <w:p>
      <w:pPr>
        <w:spacing w:before="240"/>
        <w:ind w:firstLine="540"/>
        <w:jc w:val="both"/>
        <w:rPr>
          <w:color w:val="000000"/>
        </w:rPr>
      </w:pPr>
      <w:r>
        <w:drawing>
          <wp:inline xmlns:wp="http://schemas.openxmlformats.org/drawingml/2006/wordprocessingDrawing">
            <wp:extent cx="422910" cy="32004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3"/>
                    <a:stretch>
                      <a:fillRect/>
                    </a:stretch>
                  </pic:blipFill>
                  <pic:spPr>
                    <a:xfrm>
                      <a:off x="0" y="0"/>
                      <a:ext cx="422910" cy="320040"/>
                    </a:xfrm>
                    <a:prstGeom prst="rect"/>
                    <a:noFill/>
                  </pic:spPr>
                </pic:pic>
              </a:graphicData>
            </a:graphic>
          </wp:inline>
        </w:drawing>
      </w:r>
      <w:r>
        <w:rPr>
          <w:color w:val="000000"/>
        </w:rPr>
        <w:t xml:space="preserve"> - расходы на создание двухтрубных тепловых сетей (за исключением создания (реконструкции) тепловых пунктов) канального типа прокладки i-го диапазона диаметров p-й категории протяженности от существующей тепловой сети или источника тепловой энергии до точки подключения объекта заявителя (тыс. руб./м)/Гкал/ч);</w:t>
      </w:r>
    </w:p>
    <w:p>
      <w:pPr>
        <w:spacing w:before="240"/>
        <w:ind w:firstLine="540"/>
        <w:jc w:val="both"/>
        <w:rPr>
          <w:color w:val="000000"/>
        </w:rPr>
      </w:pPr>
      <w:r>
        <w:drawing>
          <wp:inline xmlns:wp="http://schemas.openxmlformats.org/drawingml/2006/wordprocessingDrawing">
            <wp:extent cx="308610" cy="30861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4"/>
                    <a:stretch>
                      <a:fillRect/>
                    </a:stretch>
                  </pic:blipFill>
                  <pic:spPr>
                    <a:xfrm>
                      <a:off x="0" y="0"/>
                      <a:ext cx="308610" cy="308610"/>
                    </a:xfrm>
                    <a:prstGeom prst="rect"/>
                    <a:noFill/>
                  </pic:spPr>
                </pic:pic>
              </a:graphicData>
            </a:graphic>
          </wp:inline>
        </w:drawing>
      </w:r>
      <w:r>
        <w:rPr>
          <w:color w:val="000000"/>
        </w:rPr>
        <w:t xml:space="preserve"> - суммарная протяженность двухтрубной трассы системы теплоснабжения i-го диапазона диаметров, прокладываемой бесканальным способом от существующей тепловой сети или источника тепловой энергии до точки подключения объекта заявителя, соответствующая p-й категории протяженности (м);</w:t>
      </w:r>
    </w:p>
    <w:p>
      <w:pPr>
        <w:spacing w:before="240"/>
        <w:ind w:firstLine="540"/>
        <w:jc w:val="both"/>
        <w:rPr>
          <w:color w:val="000000"/>
        </w:rPr>
      </w:pPr>
      <w:r>
        <w:drawing>
          <wp:inline xmlns:wp="http://schemas.openxmlformats.org/drawingml/2006/wordprocessingDrawing">
            <wp:extent cx="308610" cy="30861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5"/>
                    <a:stretch>
                      <a:fillRect/>
                    </a:stretch>
                  </pic:blipFill>
                  <pic:spPr>
                    <a:xfrm>
                      <a:off x="0" y="0"/>
                      <a:ext cx="308610" cy="308610"/>
                    </a:xfrm>
                    <a:prstGeom prst="rect"/>
                    <a:noFill/>
                  </pic:spPr>
                </pic:pic>
              </a:graphicData>
            </a:graphic>
          </wp:inline>
        </w:drawing>
      </w:r>
      <w:r>
        <w:rPr>
          <w:color w:val="000000"/>
        </w:rPr>
        <w:t xml:space="preserve"> - суммарная протяженность двухтрубной трассы системы теплоснабжения i-го диапазона диаметров, прокладываемой канальным способом от существующей тепловой сети или источника тепловой энергии до точки подключения объекта заявителя, соответствующая p-й категории протяженности (м).</w:t>
      </w:r>
    </w:p>
    <w:p>
      <w:pPr>
        <w:jc w:val="both"/>
        <w:rPr>
          <w:color w:val="000000"/>
        </w:rPr>
      </w:pPr>
    </w:p>
    <w:p>
      <w:pPr>
        <w:ind w:firstLine="540"/>
        <w:jc w:val="both"/>
        <w:rPr>
          <w:color w:val="000000"/>
        </w:rPr>
      </w:pPr>
      <w:r>
        <w:rPr>
          <w:color w:val="000000"/>
        </w:rPr>
        <w:t>При расчете платы за подключение по вышеуказанной формуле необходимо руководствоваться следующими правилами:</w:t>
      </w:r>
    </w:p>
    <w:p>
      <w:pPr>
        <w:spacing w:before="240"/>
        <w:ind w:firstLine="540"/>
        <w:jc w:val="both"/>
        <w:rPr>
          <w:color w:val="000000"/>
        </w:rPr>
      </w:pPr>
      <w:r>
        <w:rPr>
          <w:color w:val="000000"/>
        </w:rPr>
        <w:t>- если суммарная протяженность двухтрубной трассы системы теплоснабжения i-го диаметра, прокладываемой канальным способом от существующей тепловой сети или источника тепловой энергии до точки подключения объекта заявителя, составляет до 50 м включительно, то для расчета платы необходимо выбрать позицию, соответствующую канальному типу прокладки i-го диаметра трубопровода категории протяженности до 50 м включительно;</w:t>
      </w:r>
    </w:p>
    <w:p>
      <w:pPr>
        <w:spacing w:before="240"/>
        <w:ind w:firstLine="540"/>
        <w:jc w:val="both"/>
        <w:rPr>
          <w:color w:val="000000"/>
        </w:rPr>
      </w:pPr>
      <w:r>
        <w:rPr>
          <w:color w:val="000000"/>
        </w:rPr>
        <w:t>- если суммарная протяженность двухтрубной трассы системы теплоснабжения i-го диаметра, прокладываемой канальным способом от существующей тепловой сети или источника тепловой энергии до точки подключения объекта заявителя, составляет от 50 м до 200 м включительно, то для расчета платы необходимо выбрать позицию, соответствующую канальному типу прокладки i-го диаметра трубопровода категории протяженности от 50 м до 200 м включительно;</w:t>
      </w:r>
    </w:p>
    <w:p>
      <w:pPr>
        <w:spacing w:before="240"/>
        <w:ind w:firstLine="540"/>
        <w:jc w:val="both"/>
        <w:rPr>
          <w:color w:val="000000"/>
        </w:rPr>
      </w:pPr>
      <w:r>
        <w:rPr>
          <w:color w:val="000000"/>
        </w:rPr>
        <w:t>- если суммарная протяженность двухтрубной трассы системы теплоснабжения i-го диаметра, прокладываемой канальным способом от существующей тепловой сети или источника тепловой энергии до точки подключения объекта заявителя, составляет более 200 м, то для расчета платы необходимо выбрать позицию, соответствующую канальному типу прокладки i-го диаметра трубопровода категории протяженности более 200 м;</w:t>
      </w:r>
    </w:p>
    <w:p>
      <w:pPr>
        <w:spacing w:before="240"/>
        <w:ind w:firstLine="540"/>
        <w:jc w:val="both"/>
        <w:rPr>
          <w:color w:val="000000"/>
        </w:rPr>
      </w:pPr>
      <w:r>
        <w:rPr>
          <w:color w:val="000000"/>
        </w:rPr>
        <w:t>- если суммарная протяженность двухтрубной трассы системы теплоснабжения i-го диаметра, прокладываемой бесканальным способом от существующей тепловой сети или источника тепловой энергии до точки подключения объекта заявителя, составляет до 50 м включительно, то для расчета платы необходимо выбрать позицию, соответствующую бесканальному типу прокладки i-го диаметра трубопровода категории протяженности до 50 м включительно;</w:t>
      </w:r>
    </w:p>
    <w:p>
      <w:pPr>
        <w:spacing w:before="240"/>
        <w:ind w:firstLine="540"/>
        <w:jc w:val="both"/>
        <w:rPr>
          <w:color w:val="000000"/>
        </w:rPr>
      </w:pPr>
      <w:r>
        <w:rPr>
          <w:color w:val="000000"/>
        </w:rPr>
        <w:t>- если суммарная протяженность двухтрубной трассы системы теплоснабжения i-го диаметра, прокладываемой бесканальным способом от существующей тепловой сети или источника тепловой энергии до точки подключения объекта заявителя, составляет от 50 м до 200 м включительно, то для расчета платы необходимо выбрать позицию, соответствующую бесканальному типу прокладки i-го диаметра трубопровода категории протяженности от 50 м до 200 м включительно;</w:t>
      </w:r>
    </w:p>
    <w:p>
      <w:pPr>
        <w:spacing w:before="240"/>
        <w:ind w:firstLine="540"/>
        <w:jc w:val="both"/>
        <w:rPr>
          <w:color w:val="000000"/>
        </w:rPr>
      </w:pPr>
      <w:r>
        <w:rPr>
          <w:color w:val="000000"/>
        </w:rPr>
        <w:t>- если суммарная протяженность двухтрубной трассы системы теплоснабжения i-го диаметра, прокладываемой бесканальным способом от существующей тепловой сети или источника тепловой энергии до точки подключения объекта заявителя, составляет более 200 м, то для расчета платы необходимо выбрать позицию, соответствующую бесканальному типу прокладки i-го диаметра трубопровода категории протяженности более 200 м.</w:t>
      </w:r>
    </w:p>
    <w:p>
      <w:pPr>
        <w:jc w:val="both"/>
        <w:rPr>
          <w:color w:val="000000"/>
        </w:rPr>
      </w:pPr>
    </w:p>
    <w:p>
      <w:pPr>
        <w:jc w:val="both"/>
        <w:rPr>
          <w:color w:val="000000"/>
        </w:rPr>
      </w:pPr>
    </w:p>
    <w:p>
      <w:pPr>
        <w:pBdr>
          <w:top w:val="single" w:sz="0" w:space="0" w:shadow="0" w:frame="0" w:color="000000"/>
        </w:pBdr>
        <w:spacing w:before="100" w:after="100"/>
        <w:jc w:val="both"/>
        <w:rPr>
          <w:color w:val="000000"/>
          <w:sz w:val="1"/>
        </w:rPr>
      </w:pPr>
    </w:p>
    <w:sectPr>
      <w:headerReference xmlns:r="http://schemas.openxmlformats.org/officeDocument/2006/relationships" w:type="default" r:id="RelHdr1"/>
      <w:footerReference xmlns:r="http://schemas.openxmlformats.org/officeDocument/2006/relationships" w:type="default" r:id="RelFtr1"/>
      <w:type w:val="nextPage"/>
      <w:pgSz w:w="11906" w:h="16838" w:code="0"/>
      <w:pgMar w:left="1133" w:right="566" w:top="450" w:bottom="630" w:header="0" w:footer="0" w:gutter="0"/>
    </w:sectPr>
  </w:body>
</w:document>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pBdr>
        <w:bottom w:val="single" w:sz="12" w:space="0" w:shadow="0" w:frame="0" w:color="000000"/>
      </w:pBdr>
      <w:jc w:val="center"/>
      <w:rPr>
        <w:sz w:val="1"/>
      </w:rPr>
    </w:pPr>
  </w:p>
  <w:p>
    <w:pPr>
      <w:rPr>
        <w:sz w:val="1"/>
      </w:rPr>
    </w:pPr>
  </w:p>
</w:ftr>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pBdr>
        <w:bottom w:val="single" w:sz="12" w:space="0" w:shadow="0" w:frame="0" w:color="000000"/>
      </w:pBdr>
      <w:jc w:val="center"/>
      <w:rPr>
        <w:sz w:val="1"/>
      </w:rPr>
    </w:pPr>
  </w:p>
  <w:p>
    <w:pPr>
      <w:jc w:val="center"/>
      <w:rPr>
        <w:sz w:val="10"/>
      </w:rPr>
    </w:pPr>
    <w:r>
      <w:rPr>
        <w:sz w:val="10"/>
      </w:rPr>
      <w:t xml:space="preserve"> </w:t>
    </w:r>
  </w:p>
</w:hdr>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20"/>
  <w:autoHyphenation w:val="0"/>
  <w:evenAndOddHeaders w:val="0"/>
  <w:clrSchemeMapping/>
</w:settings>
</file>

<file path=word/styles.xml><?xml version="1.0" encoding="utf-8"?>
<w:styles xmlns:w="http://schemas.openxmlformats.org/wordprocessingml/2006/main">
  <w:docDefaults>
    <w:rPrDefault>
      <w:rPr>
        <w:rFonts w:ascii="Times New Roman" w:hAnsi="Times New Roman"/>
        <w:b w:val="0"/>
        <w:i w:val="0"/>
        <w:caps w:val="0"/>
        <w:strike w:val="0"/>
        <w:noProof w:val="0"/>
        <w:vanish w:val="0"/>
        <w:color w:val="000000"/>
        <w:sz w:val="24"/>
        <w:u w:val="none"/>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ConsPlusNormal"/>
    <w:pPr/>
    <w:rPr/>
  </w:style>
  <w:style w:type="paragraph" w:styleId="P1">
    <w:name w:val="ConsPlusNonformat"/>
    <w:basedOn w:val="P0"/>
    <w:pPr/>
    <w:rPr>
      <w:rFonts w:ascii="Courier New" w:hAnsi="Courier New"/>
      <w:sz w:val="20"/>
    </w:rPr>
  </w:style>
  <w:style w:type="paragraph" w:styleId="P2">
    <w:name w:val="ConsPlusTitle"/>
    <w:basedOn w:val="P0"/>
    <w:pPr/>
    <w:rPr>
      <w:rFonts w:ascii="Arial" w:hAnsi="Arial"/>
      <w:b w:val="1"/>
    </w:rPr>
  </w:style>
  <w:style w:type="paragraph" w:styleId="P3">
    <w:name w:val="ConsPlusCell"/>
    <w:basedOn w:val="P0"/>
    <w:pPr/>
    <w:rPr>
      <w:rFonts w:ascii="Courier New" w:hAnsi="Courier New"/>
      <w:sz w:val="20"/>
    </w:rPr>
  </w:style>
  <w:style w:type="paragraph" w:styleId="P4">
    <w:name w:val="ConsPlusDocList"/>
    <w:basedOn w:val="P0"/>
    <w:pPr/>
    <w:rPr>
      <w:rFonts w:ascii="Tahoma" w:hAnsi="Tahoma"/>
      <w:sz w:val="18"/>
    </w:rPr>
  </w:style>
  <w:style w:type="paragraph" w:styleId="P5">
    <w:name w:val="ConsPlusTitlePage"/>
    <w:basedOn w:val="P0"/>
    <w:pPr/>
    <w:rPr>
      <w:rFonts w:ascii="Tahoma" w:hAnsi="Tahoma"/>
    </w:rPr>
  </w:style>
  <w:style w:type="paragraph" w:styleId="P6">
    <w:name w:val="ConsPlusJurTerm"/>
    <w:basedOn w:val="P0"/>
    <w:pPr/>
    <w:rPr/>
  </w:style>
  <w:style w:type="paragraph" w:styleId="P7">
    <w:name w:val="ConsPlusTextList"/>
    <w:basedOn w:val="P0"/>
    <w:pPr/>
    <w:rPr/>
  </w:style>
  <w:style w:type="paragraph" w:styleId="P8">
    <w:name w:val="ConsPlusTextList"/>
    <w:basedOn w:val="P0"/>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s>
</file>

<file path=word/_rels/document.xml.rels>&#65279;<?xml version="1.0" encoding="utf-8"?><Relationships xmlns="http://schemas.openxmlformats.org/package/2006/relationships"><Relationship Id="Relimage1" Type="http://schemas.openxmlformats.org/officeDocument/2006/relationships/image" Target="/media/image1.emf" /><Relationship Id="Relimage2" Type="http://schemas.openxmlformats.org/officeDocument/2006/relationships/image" Target="/media/image2.emf" /><Relationship Id="Relimage3" Type="http://schemas.openxmlformats.org/officeDocument/2006/relationships/image" Target="/media/image3.emf" /><Relationship Id="Relimage4" Type="http://schemas.openxmlformats.org/officeDocument/2006/relationships/image" Target="/media/image4.emf" /><Relationship Id="Relimage5" Type="http://schemas.openxmlformats.org/officeDocument/2006/relationships/image" Target="/media/image5.emf" /><Relationship Id="RelHdr1" Type="http://schemas.openxmlformats.org/officeDocument/2006/relationships/header" Target="header1.xml" /><Relationship Id="RelFtr1" Type="http://schemas.openxmlformats.org/officeDocument/2006/relationships/footer" Target="foot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