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59AF8A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right"/>
        <w:outlineLvl w:val="0"/>
        <w:rPr>
          <w:color w:val="000000"/>
        </w:rPr>
      </w:pPr>
      <w:r>
        <w:rPr>
          <w:color w:val="000000"/>
        </w:rPr>
        <w:t>Приложение</w:t>
      </w:r>
    </w:p>
    <w:p>
      <w:pPr>
        <w:jc w:val="right"/>
        <w:rPr>
          <w:color w:val="000000"/>
        </w:rPr>
      </w:pPr>
      <w:r>
        <w:rPr>
          <w:color w:val="000000"/>
        </w:rPr>
        <w:t>к распоряжению Комитета</w:t>
      </w:r>
    </w:p>
    <w:p>
      <w:pPr>
        <w:jc w:val="right"/>
        <w:rPr>
          <w:color w:val="000000"/>
        </w:rPr>
      </w:pPr>
      <w:r>
        <w:rPr>
          <w:color w:val="000000"/>
        </w:rPr>
        <w:t>по ценам и тарифам</w:t>
      </w:r>
    </w:p>
    <w:p>
      <w:pPr>
        <w:jc w:val="right"/>
        <w:rPr>
          <w:color w:val="000000"/>
        </w:rPr>
      </w:pPr>
      <w:r>
        <w:rPr>
          <w:color w:val="000000"/>
        </w:rPr>
        <w:t>Московской области</w:t>
      </w:r>
    </w:p>
    <w:p>
      <w:pPr>
        <w:jc w:val="right"/>
        <w:rPr>
          <w:color w:val="000000"/>
        </w:rPr>
      </w:pPr>
      <w:r>
        <w:rPr>
          <w:color w:val="000000"/>
        </w:rPr>
        <w:t>от 24 ноября 2020 г. N 206-Р</w:t>
      </w:r>
    </w:p>
    <w:p>
      <w:pPr>
        <w:jc w:val="both"/>
        <w:rPr>
          <w:color w:val="000000"/>
        </w:rPr>
      </w:pPr>
    </w:p>
    <w:p>
      <w:pPr>
        <w:pStyle w:val="P2"/>
        <w:jc w:val="center"/>
        <w:rPr>
          <w:color w:val="000000"/>
        </w:rPr>
      </w:pPr>
      <w:bookmarkStart w:id="0" w:name="Par29"/>
      <w:bookmarkEnd w:id="0"/>
      <w:r>
        <w:rPr>
          <w:color w:val="000000"/>
        </w:rPr>
        <w:t>ТАРИФЫ</w:t>
      </w:r>
    </w:p>
    <w:p>
      <w:pPr>
        <w:pStyle w:val="P2"/>
        <w:jc w:val="center"/>
        <w:rPr>
          <w:color w:val="000000"/>
        </w:rPr>
      </w:pPr>
      <w:r>
        <w:rPr>
          <w:color w:val="000000"/>
        </w:rPr>
        <w:t>НА ГОРЯЧУЮ ВОДУ В ЗАКРЫТЫХ СИСТЕМАХ ГОРЯЧЕГО ВОДОСНАБЖЕНИЯ</w:t>
      </w:r>
    </w:p>
    <w:p>
      <w:pPr>
        <w:pStyle w:val="P2"/>
        <w:jc w:val="center"/>
        <w:rPr>
          <w:color w:val="000000"/>
        </w:rPr>
      </w:pPr>
      <w:r>
        <w:rPr>
          <w:color w:val="000000"/>
        </w:rPr>
        <w:t>ДЛЯ ОРГАНИЗАЦИЙ, ОСУЩЕСТВЛЯЮЩИХ ГОРЯЧЕЕ ВОДОСНАБЖЕНИЯ,</w:t>
      </w:r>
    </w:p>
    <w:p>
      <w:pPr>
        <w:pStyle w:val="P2"/>
        <w:jc w:val="center"/>
        <w:rPr>
          <w:color w:val="000000"/>
        </w:rPr>
      </w:pPr>
      <w:r>
        <w:rPr>
          <w:color w:val="000000"/>
        </w:rPr>
        <w:t>НА 2021 ГОД</w:t>
      </w:r>
    </w:p>
    <w:tbl>
      <w:tblPr>
        <w:tblW w:w="0" w:type="auto"/>
        <w:tblInd w:w="-11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/>
      <w:tr>
        <w:trPr>
          <w:gridAfter w:val="0"/>
        </w:trPr>
        <w:tc>
          <w:tcPr>
            <w:tcW w:w="52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125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регулируемой организации, осуществляющей горячее водоснабжение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6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поставщика воды для приготовления ГВС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поставщика воды для приготовления ГВС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оказания услуг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180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налогообложения на 2021 год (год регулирования) регулируемой организации, осуществляющей горячее водоснабжение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01.01.2021 по 30.06.2021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01.01.2021 по 30.06.2021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01.07.2021 по 31.12.2021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01.07.2021 по 31.12.2021</w:t>
            </w:r>
          </w:p>
        </w:tc>
      </w:tr>
      <w:tr>
        <w:trPr>
          <w:gridAfter w:val="0"/>
        </w:trPr>
        <w:tc>
          <w:tcPr>
            <w:tcW w:w="52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холодную воду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тепловую энергию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холодную воду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 на тепловую энергию</w:t>
            </w:r>
          </w:p>
        </w:tc>
      </w:tr>
      <w:tr>
        <w:trPr>
          <w:gridAfter w:val="0"/>
        </w:trPr>
        <w:tc>
          <w:tcPr>
            <w:tcW w:w="52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руб./куб. м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руб./Гкал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руб./куб. м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руб./Гкал</w:t>
            </w:r>
          </w:p>
        </w:tc>
      </w:tr>
      <w:tr>
        <w:trPr>
          <w:gridAfter w:val="0"/>
        </w:trPr>
        <w:tc>
          <w:tcPr>
            <w:tcW w:w="52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"ДП "Истра-Нутриция"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5017014392</w:t>
            </w:r>
          </w:p>
        </w:tc>
        <w:tc>
          <w:tcPr>
            <w:tcW w:w="126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"ДП "Истра-Нутриция"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5017014392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городского округа Истра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8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20,30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1119,84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20,93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1128,90</w:t>
            </w:r>
          </w:p>
        </w:tc>
      </w:tr>
      <w:tr>
        <w:trPr>
          <w:gridAfter w:val="0"/>
        </w:trPr>
        <w:tc>
          <w:tcPr>
            <w:tcW w:w="52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8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НДС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\l Par146  \o "&lt;*&gt; Выделяется в целях реализации пункта 6 статьи 168 Налогового кодекса Российской Федерации (часть вторая)."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&lt;*&gt;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24,36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1343,81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25,12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1354,68</w:t>
            </w:r>
          </w:p>
        </w:tc>
      </w:tr>
      <w:tr>
        <w:trPr>
          <w:gridAfter w:val="0"/>
        </w:trPr>
        <w:tc>
          <w:tcPr>
            <w:tcW w:w="52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"БШФ"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5072701131</w:t>
            </w:r>
          </w:p>
        </w:tc>
        <w:tc>
          <w:tcPr>
            <w:tcW w:w="126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АО "БШФ"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5072701131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городского округа Луховицы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8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36,91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2086,20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37,13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2122,32</w:t>
            </w:r>
          </w:p>
        </w:tc>
      </w:tr>
      <w:tr>
        <w:trPr>
          <w:gridAfter w:val="0"/>
        </w:trPr>
        <w:tc>
          <w:tcPr>
            <w:tcW w:w="52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8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НДС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\l Par147  \o "&lt;**&gt; Налог на добавленную стоимость (НДС) не взимается в связи с применением упрощенной системы налогообложения либо в соответствии со статьями 145, 146 и 149 Налогового кодекса Российской Федерации."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&lt;**&gt;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36,91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2086,20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37,13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2122,32</w:t>
            </w:r>
          </w:p>
        </w:tc>
      </w:tr>
      <w:tr>
        <w:trPr>
          <w:gridAfter w:val="0"/>
        </w:trPr>
        <w:tc>
          <w:tcPr>
            <w:tcW w:w="52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ГБУ ПНИ N 2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5077000796</w:t>
            </w:r>
          </w:p>
        </w:tc>
        <w:tc>
          <w:tcPr>
            <w:tcW w:w="126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ГБУ ПНИ N 2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5077000796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городского округа Серпухов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8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11,29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1188,67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11,29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1234,85</w:t>
            </w:r>
          </w:p>
        </w:tc>
      </w:tr>
      <w:tr>
        <w:trPr>
          <w:gridAfter w:val="0"/>
        </w:trPr>
        <w:tc>
          <w:tcPr>
            <w:tcW w:w="52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8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НДС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\l Par146  \o "&lt;*&gt; Выделяется в целях реализации пункта 6 статьи 168 Налогового кодекса Российской Федерации (часть вторая)."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&lt;*&gt;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13,55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1426,41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13,55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1481,82</w:t>
            </w:r>
          </w:p>
        </w:tc>
      </w:tr>
      <w:tr>
        <w:trPr>
          <w:gridAfter w:val="0"/>
        </w:trPr>
        <w:tc>
          <w:tcPr>
            <w:tcW w:w="52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"ТЕПЛОСЕРВИС"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5004018174</w:t>
            </w:r>
          </w:p>
        </w:tc>
        <w:tc>
          <w:tcPr>
            <w:tcW w:w="126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ООО "ТЕПЛОСЕРВИС"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5004018174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городского округа Волоколамск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8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24,99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2125,94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25,77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2168,37</w:t>
            </w:r>
          </w:p>
        </w:tc>
      </w:tr>
      <w:tr>
        <w:trPr>
          <w:gridAfter w:val="0"/>
        </w:trPr>
        <w:tc>
          <w:tcPr>
            <w:tcW w:w="52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8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 НДС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\l Par146  \o "&lt;*&gt; Выделяется в целях реализации пункта 6 статьи 168 Налогового кодекса Российской Федерации (часть вторая)."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&lt;*&gt;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29,99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2551,13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30,92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2602,04</w:t>
            </w:r>
          </w:p>
        </w:tc>
      </w:tr>
      <w:tr>
        <w:trPr>
          <w:gridAfter w:val="0"/>
        </w:trPr>
        <w:tc>
          <w:tcPr>
            <w:tcW w:w="52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5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МУП "ВОСХОД-СЕРВИС"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5017106011</w:t>
            </w:r>
          </w:p>
        </w:tc>
        <w:tc>
          <w:tcPr>
            <w:tcW w:w="126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МУП "ВОСХОД-СЕРВИС"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5017106011</w:t>
            </w:r>
          </w:p>
        </w:tc>
        <w:tc>
          <w:tcPr>
            <w:tcW w:w="144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 территории городского округа Восход (ЗАТО)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8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37,67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2619,17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38,23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2672,87</w:t>
            </w:r>
          </w:p>
        </w:tc>
      </w:tr>
      <w:tr>
        <w:trPr>
          <w:gridAfter w:val="0"/>
        </w:trPr>
        <w:tc>
          <w:tcPr>
            <w:tcW w:w="52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5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8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 НДС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HYPERLINK \l Par147  \o "&lt;**&gt; Налог на добавленную стоимость (НДС) не взимается в связи с применением упрощенной системы налогообложения либо в соответствии со статьями 145, 146 и 149 Налогового кодекса Российской Федерации."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&lt;**&gt;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37,67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2619,17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38,23</w:t>
            </w:r>
          </w:p>
        </w:tc>
        <w:tc>
          <w:tcPr>
            <w:tcW w:w="14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2672,87</w:t>
            </w:r>
          </w:p>
        </w:tc>
      </w:tr>
    </w:tbl>
    <w:p>
      <w:pPr>
        <w:spacing w:before="240"/>
        <w:ind w:firstLine="540"/>
        <w:jc w:val="both"/>
        <w:rPr>
          <w:color w:val="000000"/>
        </w:rPr>
      </w:pPr>
      <w:bookmarkStart w:id="1" w:name="Par146"/>
      <w:bookmarkEnd w:id="1"/>
      <w:r>
        <w:rPr>
          <w:color w:val="000000"/>
        </w:rPr>
        <w:t>&lt;*&gt; Выделяется в целях реализации пункта 6 статьи 168 Налогового кодекса Российской Федерации (часть вторая).</w:t>
      </w:r>
    </w:p>
    <w:p>
      <w:pPr>
        <w:spacing w:before="240"/>
        <w:ind w:firstLine="540"/>
        <w:jc w:val="both"/>
        <w:rPr>
          <w:color w:val="000000"/>
        </w:rPr>
      </w:pPr>
      <w:bookmarkStart w:id="2" w:name="Par147"/>
      <w:bookmarkEnd w:id="2"/>
      <w:r>
        <w:rPr>
          <w:color w:val="000000"/>
        </w:rPr>
        <w:t>&lt;**&gt; Налог на добавленную стоимость (НДС) не взимается в связи с применением упрощенной системы налогообложения либо в соответствии со статьями 145, 146 и 149 Налогового кодекса Российской Федерации.</w:t>
      </w:r>
    </w:p>
    <w:p>
      <w:pPr>
        <w:pBdr>
          <w:top w:val="single" w:sz="0" w:space="0" w:shadow="0" w:frame="0" w:color="000000"/>
        </w:pBdr>
        <w:spacing w:before="100" w:after="100"/>
        <w:jc w:val="both"/>
        <w:rPr>
          <w:color w:val="000000"/>
          <w:sz w:val="1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6838" w:h="11906" w:code="0" w:orient="landscape"/>
      <w:pgMar w:left="1440" w:right="1440" w:top="143" w:bottom="566" w:header="0" w:footer="0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Bdr>
        <w:bottom w:val="single" w:sz="12" w:space="0" w:shadow="0" w:frame="0" w:color="000000"/>
      </w:pBdr>
      <w:jc w:val="center"/>
      <w:rPr>
        <w:sz w:val="1"/>
      </w:rPr>
    </w:pPr>
  </w:p>
  <w:p>
    <w:pPr>
      <w:rPr>
        <w:sz w:val="1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Bdr>
        <w:bottom w:val="single" w:sz="12" w:space="0" w:shadow="0" w:frame="0" w:color="000000"/>
      </w:pBdr>
      <w:jc w:val="center"/>
      <w:rPr>
        <w:sz w:val="1"/>
      </w:rPr>
    </w:pPr>
  </w:p>
  <w:p>
    <w:pPr>
      <w:jc w:val="center"/>
      <w:rPr>
        <w:sz w:val="10"/>
      </w:rPr>
    </w:pPr>
    <w:r>
      <w:rPr>
        <w:sz w:val="10"/>
      </w:rPr>
      <w:t xml:space="preserve">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4"/>
        <w:u w:val="none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ConsPlusNormal"/>
    <w:pPr/>
    <w:rPr/>
  </w:style>
  <w:style w:type="paragraph" w:styleId="P1">
    <w:name w:val="ConsPlusNonformat"/>
    <w:basedOn w:val="P0"/>
    <w:pPr/>
    <w:rPr>
      <w:rFonts w:ascii="Courier New" w:hAnsi="Courier New"/>
      <w:sz w:val="20"/>
    </w:rPr>
  </w:style>
  <w:style w:type="paragraph" w:styleId="P2">
    <w:name w:val="ConsPlusTitle"/>
    <w:basedOn w:val="P0"/>
    <w:pPr/>
    <w:rPr>
      <w:rFonts w:ascii="Arial" w:hAnsi="Arial"/>
      <w:b w:val="1"/>
    </w:rPr>
  </w:style>
  <w:style w:type="paragraph" w:styleId="P3">
    <w:name w:val="ConsPlusCell"/>
    <w:basedOn w:val="P0"/>
    <w:pPr/>
    <w:rPr>
      <w:rFonts w:ascii="Courier New" w:hAnsi="Courier New"/>
      <w:sz w:val="20"/>
    </w:rPr>
  </w:style>
  <w:style w:type="paragraph" w:styleId="P4">
    <w:name w:val="ConsPlusDocList"/>
    <w:basedOn w:val="P0"/>
    <w:pPr/>
    <w:rPr>
      <w:rFonts w:ascii="Tahoma" w:hAnsi="Tahoma"/>
      <w:sz w:val="18"/>
    </w:rPr>
  </w:style>
  <w:style w:type="paragraph" w:styleId="P5">
    <w:name w:val="ConsPlusTitlePage"/>
    <w:basedOn w:val="P0"/>
    <w:pPr/>
    <w:rPr>
      <w:rFonts w:ascii="Tahoma" w:hAnsi="Tahoma"/>
    </w:rPr>
  </w:style>
  <w:style w:type="paragraph" w:styleId="P6">
    <w:name w:val="ConsPlusJurTerm"/>
    <w:basedOn w:val="P0"/>
    <w:pPr/>
    <w:rPr/>
  </w:style>
  <w:style w:type="paragraph" w:styleId="P7">
    <w:name w:val="ConsPlusTextList"/>
    <w:basedOn w:val="P0"/>
    <w:pPr/>
    <w:rPr/>
  </w:style>
  <w:style w:type="paragraph" w:styleId="P8">
    <w:name w:val="ConsPlusTextList"/>
    <w:basedOn w:val="P0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