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Id="R7312E417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jc w:val="right"/>
        <w:outlineLvl w:val="0"/>
        <w:rPr>
          <w:color w:val="000000"/>
        </w:rPr>
      </w:pPr>
      <w:r>
        <w:rPr>
          <w:color w:val="000000"/>
        </w:rPr>
        <w:t xml:space="preserve">Приложение </w:t>
      </w:r>
      <w:r>
        <w:rPr>
          <w:color w:val="000000"/>
          <w:lang w:val="ru-RU" w:bidi="ru-RU" w:eastAsia="ru-RU"/>
        </w:rPr>
        <w:t>№</w:t>
      </w:r>
      <w:r>
        <w:rPr>
          <w:color w:val="000000"/>
        </w:rPr>
        <w:t xml:space="preserve"> 1</w:t>
      </w:r>
    </w:p>
    <w:p>
      <w:pPr>
        <w:jc w:val="right"/>
        <w:rPr>
          <w:color w:val="000000"/>
        </w:rPr>
      </w:pPr>
      <w:r>
        <w:rPr>
          <w:color w:val="000000"/>
        </w:rPr>
        <w:t>к распоряжению Комитета</w:t>
      </w:r>
    </w:p>
    <w:p>
      <w:pPr>
        <w:jc w:val="right"/>
        <w:rPr>
          <w:color w:val="000000"/>
        </w:rPr>
      </w:pPr>
      <w:r>
        <w:rPr>
          <w:color w:val="000000"/>
        </w:rPr>
        <w:t>по ценам и тарифам</w:t>
      </w:r>
    </w:p>
    <w:p>
      <w:pPr>
        <w:jc w:val="right"/>
        <w:rPr>
          <w:color w:val="000000"/>
        </w:rPr>
      </w:pPr>
      <w:r>
        <w:rPr>
          <w:color w:val="000000"/>
        </w:rPr>
        <w:t>Московской области</w:t>
      </w:r>
    </w:p>
    <w:p>
      <w:pPr>
        <w:jc w:val="right"/>
        <w:rPr>
          <w:color w:val="000000"/>
        </w:rPr>
      </w:pPr>
      <w:r>
        <w:rPr>
          <w:color w:val="000000"/>
        </w:rPr>
        <w:t>от 24 ноября 2020 г. N 205-Р</w:t>
      </w:r>
    </w:p>
    <w:p>
      <w:pPr>
        <w:jc w:val="both"/>
        <w:rPr>
          <w:color w:val="000000"/>
        </w:rPr>
      </w:pPr>
    </w:p>
    <w:p>
      <w:pPr>
        <w:pStyle w:val="P2"/>
        <w:jc w:val="center"/>
        <w:rPr>
          <w:color w:val="000000"/>
        </w:rPr>
      </w:pPr>
      <w:bookmarkStart w:id="0" w:name="Par29"/>
      <w:bookmarkEnd w:id="0"/>
      <w:r>
        <w:rPr>
          <w:color w:val="000000"/>
        </w:rPr>
        <w:t>ТАРИФЫ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НА ГОРЯЧУЮ ВОДУ В ЗАКРЫТЫХ СИСТЕМАХ ГОРЯЧЕГО ВОДОСНАБЖЕНИЯ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ДЛЯ ОРГАНИЗАЦИЙ, ОСУЩЕСТВЛЯЮЩИХ ГОРЯЧЕЕ ВОДОСНАБЖЕНИЕ,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НА 2021 ГОД</w:t>
      </w:r>
    </w:p>
    <w:tbl>
      <w:tblPr>
        <w:tblW w:w="0" w:type="auto"/>
        <w:tblInd w:w="-11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/>
      <w:tr>
        <w:tc>
          <w:tcPr>
            <w:tcW w:w="566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 п/п</w:t>
            </w:r>
          </w:p>
        </w:tc>
        <w:tc>
          <w:tcPr>
            <w:tcW w:w="139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регулируемой организации, осуществляющей горячее водоснабжение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ИНН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поставщика воды для приготовления ГВС</w:t>
            </w:r>
          </w:p>
        </w:tc>
        <w:tc>
          <w:tcPr>
            <w:tcW w:w="162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ИНН поставщика воды для приготовления ГВС</w:t>
            </w:r>
          </w:p>
        </w:tc>
        <w:tc>
          <w:tcPr>
            <w:tcW w:w="180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Территория оказания услуг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Категория потребителей</w:t>
            </w:r>
          </w:p>
        </w:tc>
        <w:tc>
          <w:tcPr>
            <w:tcW w:w="126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Порядок учета НДС в тарифе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01.01.2021 по 30.06.2021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01.01.2021 по 30.06.2021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01.07.2021 по 31.12.2021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01.07.2021 по 31.12.2021</w:t>
            </w:r>
          </w:p>
        </w:tc>
      </w:tr>
      <w:tr>
        <w:tc>
          <w:tcPr>
            <w:tcW w:w="56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39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6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Компонент на холодную воду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Компонент на тепловую энергию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Компонент на холодную воду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Компонент на тепловую энергию</w:t>
            </w:r>
          </w:p>
        </w:tc>
      </w:tr>
      <w:tr>
        <w:tc>
          <w:tcPr>
            <w:tcW w:w="56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39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6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руб./куб. м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руб./Гкал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руб./куб. м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руб./Гкал</w:t>
            </w:r>
          </w:p>
        </w:tc>
      </w:tr>
      <w:tr>
        <w:tc>
          <w:tcPr>
            <w:tcW w:w="566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9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ФГКУ "Санаторий "Москвич"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5009005806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ФГКУ "Санаторий "Москвич"</w:t>
            </w:r>
          </w:p>
        </w:tc>
        <w:tc>
          <w:tcPr>
            <w:tcW w:w="162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5009005806</w:t>
            </w:r>
          </w:p>
        </w:tc>
        <w:tc>
          <w:tcPr>
            <w:tcW w:w="180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городского округа Домодедово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15,78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1708,98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15,78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1751,59</w:t>
            </w:r>
          </w:p>
        </w:tc>
      </w:tr>
      <w:tr>
        <w:tc>
          <w:tcPr>
            <w:tcW w:w="56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39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Без НДС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Par201  \o "&lt;**&gt; Налог на добавленную стоимость (НДС) не взимается в связи с применением упрощенной системы налогообложения либо в соответствии со статьями 145, 146 и 149 Налогового кодекса Российской Федерации."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&lt;**&gt;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15,78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1708,98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15,78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1751,59</w:t>
            </w:r>
          </w:p>
        </w:tc>
      </w:tr>
      <w:tr>
        <w:tc>
          <w:tcPr>
            <w:tcW w:w="566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39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АО "БЭЗ"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5031013256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АО "БЭЗ"</w:t>
            </w:r>
          </w:p>
        </w:tc>
        <w:tc>
          <w:tcPr>
            <w:tcW w:w="162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5031013256</w:t>
            </w:r>
          </w:p>
        </w:tc>
        <w:tc>
          <w:tcPr>
            <w:tcW w:w="180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Богородского городского округа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22,80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1490,80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23,42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1526,45</w:t>
            </w:r>
          </w:p>
        </w:tc>
      </w:tr>
      <w:tr>
        <w:tc>
          <w:tcPr>
            <w:tcW w:w="56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39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С НДС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Par200  \o "&lt;*&gt; Выделяется в целях реализации пункта 6 статьи 168 Налогового кодекса Российской Федерации (часть вторая)."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27,36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1788,96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28,10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1831,74</w:t>
            </w:r>
          </w:p>
        </w:tc>
      </w:tr>
      <w:tr>
        <w:tc>
          <w:tcPr>
            <w:tcW w:w="566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39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ПАО КМЗ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5024022965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ПАО КМЗ</w:t>
            </w:r>
          </w:p>
        </w:tc>
        <w:tc>
          <w:tcPr>
            <w:tcW w:w="162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5024022965</w:t>
            </w:r>
          </w:p>
        </w:tc>
        <w:tc>
          <w:tcPr>
            <w:tcW w:w="180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городского округа Красногорск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21,47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1673,74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21,57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1679,62</w:t>
            </w:r>
          </w:p>
        </w:tc>
      </w:tr>
      <w:tr>
        <w:tc>
          <w:tcPr>
            <w:tcW w:w="56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39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С НДС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Par200  \o "&lt;*&gt; Выделяется в целях реализации пункта 6 статьи 168 Налогового кодекса Российской Федерации (часть вторая)."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25,76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2008,49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25,88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2015,54</w:t>
            </w:r>
          </w:p>
        </w:tc>
      </w:tr>
      <w:tr>
        <w:tc>
          <w:tcPr>
            <w:tcW w:w="566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9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ФКУЗ "Санаторий "Зеленая роща" МВД России"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5009004418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ФКУЗ "Санаторий "Зеленая роща" МВД России"</w:t>
            </w:r>
          </w:p>
        </w:tc>
        <w:tc>
          <w:tcPr>
            <w:tcW w:w="162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5009004418</w:t>
            </w:r>
          </w:p>
        </w:tc>
        <w:tc>
          <w:tcPr>
            <w:tcW w:w="180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городского округа Домодедово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24,82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1927,73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25,10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1976,20</w:t>
            </w:r>
          </w:p>
        </w:tc>
      </w:tr>
      <w:tr>
        <w:tc>
          <w:tcPr>
            <w:tcW w:w="56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39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Без НДС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Par201  \o "&lt;**&gt; Налог на добавленную стоимость (НДС) не взимается в связи с применением упрощенной системы налогообложения либо в соответствии со статьями 145, 146 и 149 Налогового кодекса Российской Федерации."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&lt;**&gt;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24,82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1927,73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25,10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1976,20</w:t>
            </w:r>
          </w:p>
        </w:tc>
      </w:tr>
      <w:tr>
        <w:tc>
          <w:tcPr>
            <w:tcW w:w="566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9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БАНК РОССИИ (оздоровительное объединение "Солнечный городок")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7702235133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БАНК РОССИИ (оздоровительное объединение "Солнечный городок")</w:t>
            </w:r>
          </w:p>
        </w:tc>
        <w:tc>
          <w:tcPr>
            <w:tcW w:w="162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7702235133</w:t>
            </w:r>
          </w:p>
        </w:tc>
        <w:tc>
          <w:tcPr>
            <w:tcW w:w="180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городского округа Подольск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37,76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1954,83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38,10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1962,15</w:t>
            </w:r>
          </w:p>
        </w:tc>
      </w:tr>
      <w:tr>
        <w:tc>
          <w:tcPr>
            <w:tcW w:w="56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39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С НДС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Par200  \o "&lt;*&gt; Выделяется в целях реализации пункта 6 статьи 168 Налогового кодекса Российской Федерации (часть вторая)."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45,31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2345,80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45,72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2354,58</w:t>
            </w:r>
          </w:p>
        </w:tc>
      </w:tr>
      <w:tr>
        <w:tc>
          <w:tcPr>
            <w:tcW w:w="566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9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ФГБУ "РРЦ "Детство" Минздрава России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5003018904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ФГБУ "РРЦ "Детство" Минздрава России</w:t>
            </w:r>
          </w:p>
        </w:tc>
        <w:tc>
          <w:tcPr>
            <w:tcW w:w="162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5003018904</w:t>
            </w:r>
          </w:p>
        </w:tc>
        <w:tc>
          <w:tcPr>
            <w:tcW w:w="180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Ленинского городского округа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47,61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1625,12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47,61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1665,57</w:t>
            </w:r>
          </w:p>
        </w:tc>
      </w:tr>
      <w:tr>
        <w:tc>
          <w:tcPr>
            <w:tcW w:w="56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39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С НДС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Par200  \o "&lt;*&gt; Выделяется в целях реализации пункта 6 статьи 168 Налогового кодекса Российской Федерации (часть вторая)."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57,13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1950,14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57,13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1998,68</w:t>
            </w:r>
          </w:p>
        </w:tc>
      </w:tr>
      <w:tr>
        <w:tc>
          <w:tcPr>
            <w:tcW w:w="566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39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АО "ВЕГЕТТА"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7713070229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АО "ВЕГЕТТА"</w:t>
            </w:r>
          </w:p>
        </w:tc>
        <w:tc>
          <w:tcPr>
            <w:tcW w:w="162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7713070229</w:t>
            </w:r>
          </w:p>
        </w:tc>
        <w:tc>
          <w:tcPr>
            <w:tcW w:w="180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городского округа Долгопрудный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18,44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1792,49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18,44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1844,06</w:t>
            </w:r>
          </w:p>
        </w:tc>
      </w:tr>
      <w:tr>
        <w:tc>
          <w:tcPr>
            <w:tcW w:w="56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39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 НДС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c>
          <w:tcPr>
            <w:tcW w:w="566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39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ООО "Апраксин Центр"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7705481426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ООО "Апраксин Центр"</w:t>
            </w:r>
          </w:p>
        </w:tc>
        <w:tc>
          <w:tcPr>
            <w:tcW w:w="162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7705481426</w:t>
            </w:r>
          </w:p>
        </w:tc>
        <w:tc>
          <w:tcPr>
            <w:tcW w:w="180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Дмитровского городского округа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25,18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3849,02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25,91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3878,24</w:t>
            </w:r>
          </w:p>
        </w:tc>
      </w:tr>
      <w:tr>
        <w:tc>
          <w:tcPr>
            <w:tcW w:w="566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39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62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spacing w:before="240"/>
        <w:ind w:firstLine="540"/>
        <w:jc w:val="both"/>
        <w:rPr>
          <w:color w:val="000000"/>
        </w:rPr>
      </w:pPr>
      <w:bookmarkStart w:id="1" w:name="Par200"/>
      <w:bookmarkEnd w:id="1"/>
      <w:r>
        <w:rPr>
          <w:color w:val="000000"/>
        </w:rPr>
        <w:t>&lt;*&gt; Выделяется в целях реализации пункта 6 статьи 168 Налогового кодекса Российской Федерации (часть вторая).</w:t>
      </w:r>
    </w:p>
    <w:p>
      <w:pPr>
        <w:spacing w:before="240"/>
        <w:ind w:firstLine="540"/>
        <w:jc w:val="both"/>
        <w:rPr>
          <w:color w:val="000000"/>
        </w:rPr>
      </w:pPr>
      <w:bookmarkStart w:id="2" w:name="Par201"/>
      <w:bookmarkEnd w:id="2"/>
      <w:r>
        <w:rPr>
          <w:color w:val="000000"/>
        </w:rPr>
        <w:t>&lt;**&gt; Налог на добавленную стоимость (НДС) не взимается в связи с применением упрощенной системы налогообложения либо в соответствии со статьями 145, 146 и 149 Налогового кодекса Российской Федерации.</w:t>
      </w:r>
    </w:p>
    <w:p>
      <w:pPr>
        <w:pBdr>
          <w:top w:val="single" w:sz="0" w:space="0" w:shadow="0" w:frame="0" w:color="000000"/>
        </w:pBdr>
        <w:spacing w:before="100" w:after="100"/>
        <w:jc w:val="both"/>
        <w:rPr>
          <w:color w:val="000000"/>
          <w:sz w:val="1"/>
        </w:rPr>
      </w:pPr>
    </w:p>
    <w:sectPr>
      <w:headerReference xmlns:r="http://schemas.openxmlformats.org/officeDocument/2006/relationships" w:type="default" r:id="RelHdr1"/>
      <w:footerReference xmlns:r="http://schemas.openxmlformats.org/officeDocument/2006/relationships" w:type="default" r:id="RelFtr1"/>
      <w:type w:val="nextPage"/>
      <w:pgSz w:w="16838" w:h="11906" w:code="0" w:orient="landscape"/>
      <w:pgMar w:left="1440" w:right="1580" w:top="338" w:bottom="566" w:header="0" w:footer="0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Bdr>
        <w:bottom w:val="single" w:sz="12" w:space="0" w:shadow="0" w:frame="0" w:color="000000"/>
      </w:pBdr>
      <w:jc w:val="center"/>
      <w:rPr>
        <w:sz w:val="1"/>
      </w:rPr>
    </w:pPr>
  </w:p>
  <w:p>
    <w:pPr>
      <w:rPr>
        <w:sz w:val="1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Bdr>
        <w:bottom w:val="single" w:sz="12" w:space="0" w:shadow="0" w:frame="0" w:color="000000"/>
      </w:pBdr>
      <w:jc w:val="center"/>
      <w:rPr>
        <w:sz w:val="1"/>
      </w:rPr>
    </w:pPr>
  </w:p>
  <w:p>
    <w:pPr>
      <w:jc w:val="center"/>
      <w:rPr>
        <w:sz w:val="10"/>
      </w:rPr>
    </w:pPr>
    <w:r>
      <w:rPr>
        <w:sz w:val="10"/>
      </w:rPr>
      <w:t xml:space="preserve"> </w:t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000000"/>
        <w:sz w:val="24"/>
        <w:u w:val="none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ConsPlusNormal"/>
    <w:pPr/>
    <w:rPr/>
  </w:style>
  <w:style w:type="paragraph" w:styleId="P1">
    <w:name w:val="ConsPlusNonformat"/>
    <w:basedOn w:val="P0"/>
    <w:pPr/>
    <w:rPr>
      <w:rFonts w:ascii="Courier New" w:hAnsi="Courier New"/>
      <w:sz w:val="20"/>
    </w:rPr>
  </w:style>
  <w:style w:type="paragraph" w:styleId="P2">
    <w:name w:val="ConsPlusTitle"/>
    <w:basedOn w:val="P0"/>
    <w:pPr/>
    <w:rPr>
      <w:rFonts w:ascii="Arial" w:hAnsi="Arial"/>
      <w:b w:val="1"/>
    </w:rPr>
  </w:style>
  <w:style w:type="paragraph" w:styleId="P3">
    <w:name w:val="ConsPlusCell"/>
    <w:basedOn w:val="P0"/>
    <w:pPr/>
    <w:rPr>
      <w:rFonts w:ascii="Courier New" w:hAnsi="Courier New"/>
      <w:sz w:val="20"/>
    </w:rPr>
  </w:style>
  <w:style w:type="paragraph" w:styleId="P4">
    <w:name w:val="ConsPlusDocList"/>
    <w:basedOn w:val="P0"/>
    <w:pPr/>
    <w:rPr>
      <w:rFonts w:ascii="Tahoma" w:hAnsi="Tahoma"/>
      <w:sz w:val="18"/>
    </w:rPr>
  </w:style>
  <w:style w:type="paragraph" w:styleId="P5">
    <w:name w:val="ConsPlusTitlePage"/>
    <w:basedOn w:val="P0"/>
    <w:pPr/>
    <w:rPr>
      <w:rFonts w:ascii="Tahoma" w:hAnsi="Tahoma"/>
    </w:rPr>
  </w:style>
  <w:style w:type="paragraph" w:styleId="P6">
    <w:name w:val="ConsPlusJurTerm"/>
    <w:basedOn w:val="P0"/>
    <w:pPr/>
    <w:rPr/>
  </w:style>
  <w:style w:type="paragraph" w:styleId="P7">
    <w:name w:val="ConsPlusTextList"/>
    <w:basedOn w:val="P0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bottom w:w="0" w:type="dxa"/>
      </w:tblCellMar>
    </w:tblPr>
    <w:trPr/>
    <w:tcPr/>
  </w:style>
</w:styles>
</file>

<file path=word/_rels/document.xml.rels>&#65279;<?xml version="1.0" encoding="utf-8"?><Relationships xmlns="http://schemas.openxmlformats.org/package/2006/relationships"><Relationship Id="RelHdr1" Type="http://schemas.openxmlformats.org/officeDocument/2006/relationships/header" Target="header1.xml" /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