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0"/>
      </w:pPr>
      <w:r>
        <w:t>Приложение 1</w:t>
      </w:r>
    </w:p>
    <w:p>
      <w:pPr>
        <w:pStyle w:val="para0"/>
        <w:spacing/>
        <w:jc w:val="right"/>
      </w:pPr>
      <w:r>
        <w:t>к приказу Департамента</w:t>
      </w:r>
    </w:p>
    <w:p>
      <w:pPr>
        <w:pStyle w:val="para0"/>
        <w:spacing/>
        <w:jc w:val="right"/>
      </w:pPr>
      <w:r>
        <w:t>экономической политики</w:t>
      </w:r>
    </w:p>
    <w:p>
      <w:pPr>
        <w:pStyle w:val="para0"/>
        <w:spacing/>
        <w:jc w:val="right"/>
      </w:pPr>
      <w:r>
        <w:t>и развития города Москвы</w:t>
      </w:r>
    </w:p>
    <w:p>
      <w:pPr>
        <w:pStyle w:val="para0"/>
        <w:spacing/>
        <w:jc w:val="right"/>
      </w:pPr>
      <w:r>
        <w:t>от 18 декабря 2020 г. N 374-ТР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</w:pPr>
      <w:bookmarkStart w:id="0" w:name="Par42"/>
      <w:bookmarkEnd w:id="0"/>
      <w:r>
        <w:t>ДОЛГОСРОЧНЫЕ ПАРАМЕТРЫ</w:t>
      </w:r>
    </w:p>
    <w:p>
      <w:pPr>
        <w:pStyle w:val="para2"/>
        <w:spacing/>
        <w:jc w:val="center"/>
      </w:pPr>
      <w:r>
        <w:t>РЕГУЛИРОВАНИЯ, УСТАНАВЛИВАЕМЫЕ НА ДОЛГОСРОЧНЫЙ ПЕРИОД</w:t>
      </w:r>
    </w:p>
    <w:p>
      <w:pPr>
        <w:pStyle w:val="para2"/>
        <w:spacing/>
        <w:jc w:val="center"/>
      </w:pPr>
      <w:r>
        <w:t>РЕГУЛИРОВАНИЯ ДЛЯ ФОРМИРОВАНИЯ ТАРИФОВ НА ТЕПЛОВУЮ ЭНЕРГИЮ</w:t>
      </w:r>
    </w:p>
    <w:p>
      <w:pPr>
        <w:pStyle w:val="para2"/>
        <w:spacing/>
        <w:jc w:val="center"/>
      </w:pPr>
      <w:r>
        <w:t>(МОЩНОСТЬ), ПОСТАВЛЯЕМУЮ ПОТРЕБИТЕЛЯМ КАЗЕННЫМ ПРЕДПРИЯТИЕМ</w:t>
      </w:r>
    </w:p>
    <w:p>
      <w:pPr>
        <w:pStyle w:val="para2"/>
        <w:spacing/>
        <w:jc w:val="center"/>
      </w:pPr>
      <w:r>
        <w:t>"МОСКОВСКАЯ ЭНЕРГЕТИЧЕСКАЯ ДИРЕКЦИЯ" (С УЧЕТОМ</w:t>
      </w:r>
    </w:p>
    <w:p>
      <w:pPr>
        <w:pStyle w:val="para2"/>
        <w:spacing/>
        <w:jc w:val="center"/>
      </w:pPr>
      <w:r>
        <w:t>ДИФФЕРЕНЦИАЦИИ ПО СИСТЕМЕ ТЕПЛОСНАБЖЕНИЯ ОТ СОБСТВЕННЫХ</w:t>
      </w:r>
    </w:p>
    <w:p>
      <w:pPr>
        <w:pStyle w:val="para2"/>
        <w:spacing/>
        <w:jc w:val="center"/>
      </w:pPr>
      <w:r>
        <w:t>ИСТОЧНИКОВ ТЕПЛОВОЙ ЭНЕРГИИ), С ИСПОЛЬЗОВАНИЕМ МЕТОДА</w:t>
      </w:r>
    </w:p>
    <w:p>
      <w:pPr>
        <w:pStyle w:val="para2"/>
        <w:spacing/>
        <w:jc w:val="center"/>
      </w:pPr>
      <w:r>
        <w:t>ИНДЕКСАЦИИ УСТАНОВЛЕННЫХ ТАРИФОВ НА 2021-2025 ГОДЫ</w:t>
      </w:r>
    </w:p>
    <w:p>
      <w:pPr>
        <w:pStyle w:val="para0"/>
        <w:spacing/>
        <w:jc w:val="both"/>
      </w:pPr>
      <w:r/>
    </w:p>
    <w:tbl>
      <w:tblPr>
        <w:name w:val="Таблица1"/>
        <w:tabOrder w:val="0"/>
        <w:jc w:val="left"/>
        <w:tblInd w:w="0" w:type="dxa"/>
        <w:tblW w:w="9067" w:type="dxa"/>
      </w:tblPr>
      <w:tblGrid>
        <w:gridCol w:w="623"/>
        <w:gridCol w:w="963"/>
        <w:gridCol w:w="1360"/>
        <w:gridCol w:w="1587"/>
        <w:gridCol w:w="1587"/>
        <w:gridCol w:w="1644"/>
        <w:gridCol w:w="1303"/>
      </w:tblGrid>
      <w:tr>
        <w:trPr>
          <w:tblHeader w:val="0"/>
          <w:cantSplit w:val="0"/>
          <w:trHeight w:val="0" w:hRule="auto"/>
        </w:trPr>
        <w:tc>
          <w:tcPr>
            <w:tcW w:w="623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Год</w:t>
            </w: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Нормативный уровень прибыли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Динамика изменения расходов на топливо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3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тыс. руб.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%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%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</w:t>
            </w:r>
          </w:p>
        </w:tc>
        <w:tc>
          <w:tcPr>
            <w:tcW w:w="96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2021</w:t>
            </w: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21082,28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</w:t>
            </w:r>
          </w:p>
        </w:tc>
        <w:tc>
          <w:tcPr>
            <w:tcW w:w="96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2022</w:t>
            </w: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1,0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3</w:t>
            </w:r>
          </w:p>
        </w:tc>
        <w:tc>
          <w:tcPr>
            <w:tcW w:w="96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2023</w:t>
            </w: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1,0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4</w:t>
            </w:r>
          </w:p>
        </w:tc>
        <w:tc>
          <w:tcPr>
            <w:tcW w:w="96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2024</w:t>
            </w: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1,0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5</w:t>
            </w:r>
          </w:p>
        </w:tc>
        <w:tc>
          <w:tcPr>
            <w:tcW w:w="96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2025</w:t>
            </w:r>
          </w:p>
        </w:tc>
        <w:tc>
          <w:tcPr>
            <w:tcW w:w="136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1,0</w:t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64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3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0"/>
      </w:pPr>
      <w:r>
        <w:t>Приложение 2</w:t>
      </w:r>
    </w:p>
    <w:p>
      <w:pPr>
        <w:pStyle w:val="para0"/>
        <w:spacing/>
        <w:jc w:val="right"/>
      </w:pPr>
      <w:r>
        <w:t>к приказу Департамента</w:t>
      </w:r>
    </w:p>
    <w:p>
      <w:pPr>
        <w:pStyle w:val="para0"/>
        <w:spacing/>
        <w:jc w:val="right"/>
      </w:pPr>
      <w:r>
        <w:t>экономической политики</w:t>
      </w:r>
    </w:p>
    <w:p>
      <w:pPr>
        <w:pStyle w:val="para0"/>
        <w:spacing/>
        <w:jc w:val="right"/>
      </w:pPr>
      <w:r>
        <w:t>и развития города Москвы</w:t>
      </w:r>
    </w:p>
    <w:p>
      <w:pPr>
        <w:pStyle w:val="para0"/>
        <w:spacing/>
        <w:jc w:val="right"/>
      </w:pPr>
      <w:r>
        <w:t>от 18 декабря 2020 г. N 374-ТР</w:t>
      </w:r>
    </w:p>
    <w:p>
      <w:pPr>
        <w:pStyle w:val="para0"/>
        <w:spacing/>
        <w:jc w:val="both"/>
      </w:pPr>
      <w:r/>
    </w:p>
    <w:p>
      <w:pPr>
        <w:pStyle w:val="para2"/>
        <w:spacing/>
        <w:jc w:val="center"/>
      </w:pPr>
      <w:bookmarkStart w:id="1" w:name="Par109"/>
      <w:bookmarkEnd w:id="1"/>
      <w:r>
        <w:t>ТАРИФЫ</w:t>
      </w:r>
    </w:p>
    <w:p>
      <w:pPr>
        <w:pStyle w:val="para2"/>
        <w:spacing/>
        <w:jc w:val="center"/>
      </w:pPr>
      <w:r>
        <w:t>НА ТЕПЛОВУЮ ЭНЕРГИЮ (МОЩНОСТЬ), ПОСТАВЛЯЕМУЮ ПОТРЕБИТЕЛЯМ</w:t>
      </w:r>
    </w:p>
    <w:p>
      <w:pPr>
        <w:pStyle w:val="para2"/>
        <w:spacing/>
        <w:jc w:val="center"/>
      </w:pPr>
      <w:r>
        <w:t>КАЗЕННЫМ ПРЕДПРИЯТИЕМ "МОСКОВСКАЯ ЭНЕРГЕТИЧЕСКАЯ ДИРЕКЦИЯ"</w:t>
      </w:r>
    </w:p>
    <w:p>
      <w:pPr>
        <w:pStyle w:val="para2"/>
        <w:spacing/>
        <w:jc w:val="center"/>
      </w:pPr>
      <w:r>
        <w:t>(С УЧЕТОМ ДИФФЕРЕНЦИАЦИИ ПО СИСТЕМЕ ТЕПЛОСНАБЖЕНИЯ</w:t>
      </w:r>
    </w:p>
    <w:p>
      <w:pPr>
        <w:pStyle w:val="para2"/>
        <w:spacing/>
        <w:jc w:val="center"/>
      </w:pPr>
      <w:r>
        <w:t>ОТ СОБСТВЕННЫХ ИСТОЧНИКОВ ТЕПЛОВОЙ ЭНЕРГИИ)</w:t>
      </w:r>
    </w:p>
    <w:tbl>
      <w:tblPr>
        <w:name w:val="Таблица2"/>
        <w:tabOrder w:val="0"/>
        <w:jc w:val="left"/>
        <w:tblInd w:w="0" w:type="dxa"/>
        <w:tblW w:w="10356" w:type="dxa"/>
      </w:tblPr>
      <w:tblGrid>
        <w:gridCol w:w="562"/>
        <w:gridCol w:w="1992"/>
        <w:gridCol w:w="1701"/>
        <w:gridCol w:w="1138"/>
        <w:gridCol w:w="998"/>
        <w:gridCol w:w="1003"/>
        <w:gridCol w:w="912"/>
        <w:gridCol w:w="869"/>
        <w:gridCol w:w="1181"/>
      </w:tblGrid>
      <w:tr>
        <w:trPr>
          <w:tblHeader w:val="0"/>
          <w:cantSplit w:val="0"/>
          <w:trHeight w:val="0" w:hRule="auto"/>
        </w:trPr>
        <w:tc>
          <w:tcPr>
            <w:tcW w:w="56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N п/п</w:t>
            </w:r>
          </w:p>
        </w:tc>
        <w:tc>
          <w:tcPr>
            <w:tcW w:w="199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Вид тарифа</w:t>
            </w:r>
          </w:p>
        </w:tc>
        <w:tc>
          <w:tcPr>
            <w:tcW w:w="170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Год</w:t>
            </w:r>
          </w:p>
        </w:tc>
        <w:tc>
          <w:tcPr>
            <w:tcW w:w="11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Вода</w:t>
            </w:r>
          </w:p>
        </w:tc>
        <w:tc>
          <w:tcPr>
            <w:tcW w:w="3782" w:type="dxa"/>
            <w:gridSpan w:val="4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Отборный пар давлением</w:t>
            </w:r>
          </w:p>
        </w:tc>
        <w:tc>
          <w:tcPr>
            <w:tcW w:w="118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Острый и редуцированный пар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  <w:r/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  <w:r/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  <w:r/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  <w:r/>
          </w:p>
        </w:tc>
        <w:tc>
          <w:tcPr>
            <w:tcW w:w="118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</w:t>
            </w:r>
          </w:p>
        </w:tc>
        <w:tc>
          <w:tcPr>
            <w:tcW w:w="9794" w:type="dxa"/>
            <w:gridSpan w:val="8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Одноставочный, руб./Гкал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01.01.2021 по 30.06.2021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1707,08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01.07.2021 по 31.12.2021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1785,62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01.01.2022 по 30.06.2022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1785,62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01.07.2022 по 31.12.2022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1855,26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01.01.2023 по 30.06.2023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1855,26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01.07.2023 по 31.12.2023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1929,47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01.01.2024 по 30.06.2024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1870,00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01.07.2024 по 31.12.2024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1944,49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01.01.2025 по 30.06.2025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1944,49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01.07.2025 по 31.12.2025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2022,98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Двухставочный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Ставка за тепловую энергию, руб./Гкал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</w:t>
            </w:r>
          </w:p>
        </w:tc>
        <w:tc>
          <w:tcPr>
            <w:tcW w:w="9794" w:type="dxa"/>
            <w:gridSpan w:val="8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Население (с учетом НДС)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Одноставочный, руб./Гкал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01.01.2021 по 30.06.2021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2048,50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01.07.2021 по 31.12.2021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2142,74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01.01.2022 по 30.06.2022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2142,74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01.07.2022 по 31.12.2022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2226.31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01.01.2023 по 30.06.2023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2226,31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01.07.2023 по 31.12.2023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2315,36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01.01.2024 по 30.06.2024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2244,00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01.07.2024 по 31.12.2024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2333,39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01.01.2025 по 30.06.2025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2333,39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 01.07.2025 по 31.12.2025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2427,58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Двухставочный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Ставка за тепловую энергию, руб./Гкал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9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</w:pPr>
            <w:r>
              <w:t>Ставка за содержание тепловой мощности, тыс. руб./Гкал/ч в мес.</w:t>
            </w:r>
          </w:p>
        </w:tc>
        <w:tc>
          <w:tcPr>
            <w:tcW w:w="170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00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91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86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  <w:tc>
          <w:tcPr>
            <w:tcW w:w="118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53131" protected="0"/>
          </w:tcPr>
          <w:p>
            <w:pPr>
              <w:pStyle w:val="para0"/>
              <w:spacing/>
              <w:jc w:val="center"/>
            </w:pPr>
            <w:r>
              <w:t>-</w:t>
            </w:r>
          </w:p>
        </w:tc>
      </w:tr>
    </w:tbl>
    <w:p>
      <w:pPr>
        <w:pStyle w:val="para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</w:r>
    </w:p>
    <w:p>
      <w:pPr>
        <w:pStyle w:val="para0"/>
        <w:spacing/>
        <w:jc w:val="center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1906" w:w="16838" w:orient="landscape"/>
      <w:pgMar w:left="595" w:top="283" w:right="595" w:bottom="398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36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610553131" w:val="97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D:\Firefox_загрузки\374-тр\374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paragraph" w:styleId="para9">
    <w:name w:val="toc 1"/>
    <w:qFormat/>
    <w:basedOn w:val="para8"/>
    <w:next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paragraph" w:styleId="para9">
    <w:name w:val="toc 1"/>
    <w:qFormat/>
    <w:basedOn w:val="para8"/>
    <w:next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экономической политики и развития г. Москвы от 18.12.2020 N 374-ТР"Об установлении долгосрочных тарифов на тепловую энергию (мощность), поставляемую потребителям казенным предприятием "Московская энергетическая дирекция", на 2021-2025 годы"</dc:title>
  <dc:subject/>
  <dc:creator/>
  <cp:keywords/>
  <dc:description/>
  <cp:lastModifiedBy/>
  <cp:revision>1</cp:revision>
  <cp:lastPrinted>2021-01-13T15:53:02Z</cp:lastPrinted>
  <dcterms:created xsi:type="dcterms:W3CDTF">2021-01-13T15:26:10Z</dcterms:created>
  <dcterms:modified xsi:type="dcterms:W3CDTF">2021-01-13T15:52:11Z</dcterms:modified>
</cp:coreProperties>
</file>