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spacing/>
        <w:jc w:val="right"/>
        <w:outlineLvl w:val="0"/>
      </w:pPr>
      <w:r>
        <w:t>Приложение</w:t>
      </w:r>
    </w:p>
    <w:p>
      <w:pPr>
        <w:pStyle w:val="para0"/>
        <w:spacing/>
        <w:jc w:val="right"/>
      </w:pPr>
      <w:r>
        <w:t>к распоряжению Комитета</w:t>
      </w:r>
    </w:p>
    <w:p>
      <w:pPr>
        <w:pStyle w:val="para0"/>
        <w:spacing/>
        <w:jc w:val="right"/>
      </w:pPr>
      <w:r>
        <w:t>по ценам и тарифам</w:t>
      </w:r>
    </w:p>
    <w:p>
      <w:pPr>
        <w:pStyle w:val="para0"/>
        <w:spacing/>
        <w:jc w:val="right"/>
      </w:pPr>
      <w:r>
        <w:t>Московской области</w:t>
      </w:r>
    </w:p>
    <w:p>
      <w:pPr>
        <w:pStyle w:val="para0"/>
        <w:spacing/>
        <w:jc w:val="right"/>
      </w:pPr>
      <w:r>
        <w:t>от 2 октября 2020 г. N 156-Р</w:t>
      </w:r>
    </w:p>
    <w:p>
      <w:pPr>
        <w:pStyle w:val="para0"/>
        <w:spacing/>
        <w:jc w:val="both"/>
      </w:pPr>
      <w:r/>
    </w:p>
    <w:p>
      <w:pPr>
        <w:pStyle w:val="para2"/>
        <w:spacing/>
        <w:jc w:val="center"/>
      </w:pPr>
      <w:bookmarkStart w:id="0" w:name="Par29"/>
      <w:bookmarkEnd w:id="0"/>
      <w:r>
        <w:t>ТАРИФЫ</w:t>
      </w:r>
    </w:p>
    <w:p>
      <w:pPr>
        <w:pStyle w:val="para2"/>
        <w:spacing/>
        <w:jc w:val="center"/>
      </w:pPr>
      <w:r>
        <w:t>В СФЕРЕ ХОЛОДНОГО ВОДОСНАБЖЕНИЯ И ВОДООТВЕДЕНИЯ НА 2020 ГОД</w:t>
      </w:r>
    </w:p>
    <w:tbl>
      <w:tblPr>
        <w:name w:val="Таблица1"/>
        <w:tabOrder w:val="0"/>
        <w:jc w:val="left"/>
        <w:tblInd w:w="0" w:type="dxa"/>
        <w:tblW w:w="12448" w:type="dxa"/>
      </w:tblPr>
      <w:tblGrid>
        <w:gridCol w:w="2608"/>
        <w:gridCol w:w="1474"/>
        <w:gridCol w:w="1814"/>
        <w:gridCol w:w="1978"/>
        <w:gridCol w:w="1694"/>
        <w:gridCol w:w="1406"/>
        <w:gridCol w:w="1474"/>
      </w:tblGrid>
      <w:tr>
        <w:trPr>
          <w:tblHeader w:val="0"/>
          <w:cantSplit w:val="0"/>
          <w:trHeight w:val="0" w:hRule="auto"/>
        </w:trPr>
        <w:tc>
          <w:tcPr>
            <w:tcW w:w="260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Наименование организации водопроводно-канализационного хозяйства</w:t>
            </w:r>
          </w:p>
        </w:tc>
        <w:tc>
          <w:tcPr>
            <w:tcW w:w="147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ИНН</w:t>
            </w:r>
          </w:p>
        </w:tc>
        <w:tc>
          <w:tcPr>
            <w:tcW w:w="181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Наименование территории оказания услуг</w:t>
            </w:r>
          </w:p>
        </w:tc>
        <w:tc>
          <w:tcPr>
            <w:tcW w:w="197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Вид товара (услуги) (вид деятельности)</w:t>
            </w:r>
          </w:p>
        </w:tc>
        <w:tc>
          <w:tcPr>
            <w:tcW w:w="169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Категория потребителей</w:t>
            </w:r>
          </w:p>
        </w:tc>
        <w:tc>
          <w:tcPr>
            <w:tcW w:w="1406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Режим налогообложения на 2020 г.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2020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по 31.12.2020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руб./куб. 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ООО "Балашихинский водоканал"</w:t>
            </w:r>
          </w:p>
        </w:tc>
        <w:tc>
          <w:tcPr>
            <w:tcW w:w="147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5012039114</w:t>
            </w:r>
          </w:p>
        </w:tc>
        <w:tc>
          <w:tcPr>
            <w:tcW w:w="181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Городской округ Балашиха</w:t>
            </w:r>
          </w:p>
        </w:tc>
        <w:tc>
          <w:tcPr>
            <w:tcW w:w="197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Водоотведение (очистка сточных вод)</w:t>
            </w: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Прочие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Без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19,51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Население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С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 xml:space="preserve">ООО "Нахабино Кантри" </w:t>
            </w:r>
            <w:hyperlink w:anchor="Par1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7714783631</w:t>
            </w:r>
          </w:p>
        </w:tc>
        <w:tc>
          <w:tcPr>
            <w:tcW w:w="181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Городской округ Красногорск</w:t>
            </w:r>
          </w:p>
        </w:tc>
        <w:tc>
          <w:tcPr>
            <w:tcW w:w="197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Питьевая вода</w:t>
            </w: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Прочие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Без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26,68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Население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С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26,68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Водоотведение</w:t>
            </w: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Прочие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Без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19,92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Население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С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19,92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 xml:space="preserve">ООО "Белый берег" </w:t>
            </w:r>
            <w:hyperlink w:anchor="Par1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5040067988</w:t>
            </w:r>
          </w:p>
        </w:tc>
        <w:tc>
          <w:tcPr>
            <w:tcW w:w="181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Раменский городской округ</w:t>
            </w:r>
          </w:p>
        </w:tc>
        <w:tc>
          <w:tcPr>
            <w:tcW w:w="197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Питьевая вода</w:t>
            </w: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Прочие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Без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49,59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Население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С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49,59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Водоотведение</w:t>
            </w: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Прочие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Без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95,69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Население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С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95,69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АО "Корпорация развития Московской области"</w:t>
            </w:r>
          </w:p>
        </w:tc>
        <w:tc>
          <w:tcPr>
            <w:tcW w:w="147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5024131315</w:t>
            </w:r>
          </w:p>
        </w:tc>
        <w:tc>
          <w:tcPr>
            <w:tcW w:w="181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Городской округ Солнечногорск</w:t>
            </w:r>
          </w:p>
        </w:tc>
        <w:tc>
          <w:tcPr>
            <w:tcW w:w="197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Питьевая вода</w:t>
            </w: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Прочие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Без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62,34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Население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С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Водоотведение</w:t>
            </w: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Прочие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Без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130,31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0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Население</w:t>
            </w:r>
          </w:p>
        </w:tc>
        <w:tc>
          <w:tcPr>
            <w:tcW w:w="140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</w:pPr>
            <w:r>
              <w:t>С НДС</w:t>
            </w:r>
          </w:p>
        </w:tc>
        <w:tc>
          <w:tcPr>
            <w:tcW w:w="147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3647907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</w:tbl>
    <w:p>
      <w:pPr>
        <w:pStyle w:val="para0"/>
        <w:ind w:firstLine="540"/>
        <w:spacing w:before="240"/>
        <w:jc w:val="both"/>
      </w:pPr>
      <w:r>
        <w:t>&lt;*&gt; Применение упрощенной системы налогообложения</w:t>
      </w:r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1906" w:w="16838" w:orient="landscape"/>
      <w:pgMar w:left="595" w:top="170" w:right="595" w:bottom="227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3647907" w:val="978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D:\Firefox_загрузки\156\156-Р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Style w:val="para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pPr>
      <w:pStyle w:val="para8"/>
    </w:pPr>
    <w:rPr>
      <w:kern w:val="1"/>
      <w:sz w:val="24"/>
      <w:szCs w:val="24"/>
    </w:rPr>
  </w:style>
  <w:style w:type="paragraph" w:styleId="para1" w:customStyle="1">
    <w:name w:val="ConsPlusNonformat"/>
    <w:qFormat/>
    <w:pPr>
      <w:pStyle w:val="para8"/>
    </w:pPr>
    <w:rPr>
      <w:kern w:val="1"/>
    </w:rPr>
  </w:style>
  <w:style w:type="paragraph" w:styleId="para2" w:customStyle="1">
    <w:name w:val="ConsPlusTitle"/>
    <w:qFormat/>
    <w:pPr>
      <w:pStyle w:val="para8"/>
    </w:pPr>
    <w:rPr>
      <w:b/>
      <w:bCs/>
      <w:kern w:val="1"/>
      <w:sz w:val="24"/>
      <w:szCs w:val="24"/>
    </w:rPr>
  </w:style>
  <w:style w:type="paragraph" w:styleId="para3" w:customStyle="1">
    <w:name w:val="ConsPlusCell"/>
    <w:qFormat/>
    <w:pPr>
      <w:pStyle w:val="para8"/>
    </w:pPr>
    <w:rPr>
      <w:kern w:val="1"/>
    </w:rPr>
  </w:style>
  <w:style w:type="paragraph" w:styleId="para4" w:customStyle="1">
    <w:name w:val="ConsPlusDocList"/>
    <w:qFormat/>
    <w:pPr>
      <w:pStyle w:val="para8"/>
    </w:pPr>
    <w:rPr>
      <w:kern w:val="1"/>
      <w:sz w:val="18"/>
      <w:szCs w:val="18"/>
    </w:rPr>
  </w:style>
  <w:style w:type="paragraph" w:styleId="para5" w:customStyle="1">
    <w:name w:val="ConsPlusTitlePage"/>
    <w:qFormat/>
    <w:pPr>
      <w:pStyle w:val="para8"/>
    </w:pPr>
    <w:rPr>
      <w:kern w:val="1"/>
      <w:sz w:val="24"/>
      <w:szCs w:val="24"/>
    </w:rPr>
  </w:style>
  <w:style w:type="paragraph" w:styleId="para6" w:customStyle="1">
    <w:name w:val="ConsPlusJurTerm"/>
    <w:qFormat/>
    <w:pPr>
      <w:pStyle w:val="para8"/>
    </w:pPr>
    <w:rPr>
      <w:kern w:val="1"/>
      <w:sz w:val="24"/>
      <w:szCs w:val="24"/>
    </w:rPr>
  </w:style>
  <w:style w:type="paragraph" w:styleId="para7" w:customStyle="1">
    <w:name w:val="ConsPlusTextList"/>
    <w:qFormat/>
    <w:pPr>
      <w:pStyle w:val="para8"/>
    </w:pPr>
    <w:rPr>
      <w:kern w:val="1"/>
      <w:sz w:val="24"/>
      <w:szCs w:val="24"/>
    </w:rPr>
  </w:style>
  <w:style w:type="paragraph" w:styleId="para8" w:default="1">
    <w:name w:val="Normal"/>
    <w:qFormat/>
    <w:basedOn w:val="para0"/>
    <w:next w:val="para0"/>
    <w:key w:val="1072"/>
  </w:style>
  <w:style w:type="paragraph" w:styleId="para9">
    <w:name w:val="toc 1"/>
    <w:qFormat/>
    <w:basedOn w:val="para8"/>
    <w:next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Style w:val="para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pPr>
      <w:pStyle w:val="para8"/>
    </w:pPr>
    <w:rPr>
      <w:kern w:val="1"/>
      <w:sz w:val="24"/>
      <w:szCs w:val="24"/>
    </w:rPr>
  </w:style>
  <w:style w:type="paragraph" w:styleId="para1" w:customStyle="1">
    <w:name w:val="ConsPlusNonformat"/>
    <w:qFormat/>
    <w:pPr>
      <w:pStyle w:val="para8"/>
    </w:pPr>
    <w:rPr>
      <w:kern w:val="1"/>
    </w:rPr>
  </w:style>
  <w:style w:type="paragraph" w:styleId="para2" w:customStyle="1">
    <w:name w:val="ConsPlusTitle"/>
    <w:qFormat/>
    <w:pPr>
      <w:pStyle w:val="para8"/>
    </w:pPr>
    <w:rPr>
      <w:b/>
      <w:bCs/>
      <w:kern w:val="1"/>
      <w:sz w:val="24"/>
      <w:szCs w:val="24"/>
    </w:rPr>
  </w:style>
  <w:style w:type="paragraph" w:styleId="para3" w:customStyle="1">
    <w:name w:val="ConsPlusCell"/>
    <w:qFormat/>
    <w:pPr>
      <w:pStyle w:val="para8"/>
    </w:pPr>
    <w:rPr>
      <w:kern w:val="1"/>
    </w:rPr>
  </w:style>
  <w:style w:type="paragraph" w:styleId="para4" w:customStyle="1">
    <w:name w:val="ConsPlusDocList"/>
    <w:qFormat/>
    <w:pPr>
      <w:pStyle w:val="para8"/>
    </w:pPr>
    <w:rPr>
      <w:kern w:val="1"/>
      <w:sz w:val="18"/>
      <w:szCs w:val="18"/>
    </w:rPr>
  </w:style>
  <w:style w:type="paragraph" w:styleId="para5" w:customStyle="1">
    <w:name w:val="ConsPlusTitlePage"/>
    <w:qFormat/>
    <w:pPr>
      <w:pStyle w:val="para8"/>
    </w:pPr>
    <w:rPr>
      <w:kern w:val="1"/>
      <w:sz w:val="24"/>
      <w:szCs w:val="24"/>
    </w:rPr>
  </w:style>
  <w:style w:type="paragraph" w:styleId="para6" w:customStyle="1">
    <w:name w:val="ConsPlusJurTerm"/>
    <w:qFormat/>
    <w:pPr>
      <w:pStyle w:val="para8"/>
    </w:pPr>
    <w:rPr>
      <w:kern w:val="1"/>
      <w:sz w:val="24"/>
      <w:szCs w:val="24"/>
    </w:rPr>
  </w:style>
  <w:style w:type="paragraph" w:styleId="para7" w:customStyle="1">
    <w:name w:val="ConsPlusTextList"/>
    <w:qFormat/>
    <w:pPr>
      <w:pStyle w:val="para8"/>
    </w:pPr>
    <w:rPr>
      <w:kern w:val="1"/>
      <w:sz w:val="24"/>
      <w:szCs w:val="24"/>
    </w:rPr>
  </w:style>
  <w:style w:type="paragraph" w:styleId="para8" w:default="1">
    <w:name w:val="Normal"/>
    <w:qFormat/>
    <w:basedOn w:val="para0"/>
    <w:next w:val="para0"/>
    <w:key w:val="1072"/>
  </w:style>
  <w:style w:type="paragraph" w:styleId="para9">
    <w:name w:val="toc 1"/>
    <w:qFormat/>
    <w:basedOn w:val="para8"/>
    <w:next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Мособлкомцен от 02.10.2020 N 156-Р"Об установлении тарифов в сфере водоснабжения и водоотведения на 2020 год"</dc:title>
  <dc:subject/>
  <dc:creator/>
  <cp:keywords/>
  <dc:description/>
  <cp:lastModifiedBy/>
  <cp:revision>1</cp:revision>
  <cp:lastPrinted>2020-10-25T17:45:54Z</cp:lastPrinted>
  <dcterms:created xsi:type="dcterms:W3CDTF">2020-10-25T17:40:56Z</dcterms:created>
  <dcterms:modified xsi:type="dcterms:W3CDTF">2020-10-25T17:45:07Z</dcterms:modified>
</cp:coreProperties>
</file>